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7DA68" w14:textId="77777777" w:rsidR="008A69AD" w:rsidRPr="0092775A" w:rsidRDefault="008A69AD" w:rsidP="008A69AD">
      <w:pPr>
        <w:jc w:val="center"/>
        <w:rPr>
          <w:rFonts w:ascii="Arial Nova Light" w:hAnsi="Arial Nova Light"/>
          <w:b/>
          <w:lang w:val="en-GB"/>
        </w:rPr>
      </w:pPr>
      <w:r w:rsidRPr="0092775A">
        <w:rPr>
          <w:rFonts w:ascii="Arial Nova Light" w:hAnsi="Arial Nova Light"/>
          <w:b/>
          <w:lang w:val="en-GB"/>
        </w:rPr>
        <w:t xml:space="preserve">COURSE SCENARIO </w:t>
      </w:r>
    </w:p>
    <w:p w14:paraId="3312BD6B" w14:textId="34B66DD0" w:rsidR="008A69AD" w:rsidRPr="0092775A" w:rsidRDefault="008A69AD" w:rsidP="008A69AD">
      <w:pPr>
        <w:jc w:val="center"/>
        <w:rPr>
          <w:rFonts w:ascii="Arial Nova Light" w:hAnsi="Arial Nova Light"/>
          <w:b/>
          <w:bCs/>
          <w:i/>
          <w:lang w:val="en-GB"/>
        </w:rPr>
      </w:pPr>
      <w:r w:rsidRPr="0092775A">
        <w:rPr>
          <w:rFonts w:ascii="Arial Nova Light" w:hAnsi="Arial Nova Light"/>
          <w:b/>
          <w:bCs/>
          <w:i/>
          <w:lang w:val="en-GB"/>
        </w:rPr>
        <w:t>Interdisciplinary Approaches to Nature in Urban Setting</w:t>
      </w:r>
    </w:p>
    <w:p w14:paraId="48933C2D" w14:textId="77777777" w:rsidR="0092775A" w:rsidRPr="0092775A" w:rsidRDefault="0092775A" w:rsidP="0092775A">
      <w:pPr>
        <w:jc w:val="center"/>
        <w:rPr>
          <w:rFonts w:ascii="Arial Nova Light" w:hAnsi="Arial Nova Light"/>
          <w:b/>
          <w:lang w:val="en-GB"/>
        </w:rPr>
      </w:pPr>
      <w:r w:rsidRPr="0092775A">
        <w:rPr>
          <w:rFonts w:ascii="Arial Nova Light" w:hAnsi="Arial Nova Light"/>
          <w:b/>
          <w:lang w:val="en-GB"/>
        </w:rPr>
        <w:t>CLASS 10</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92775A" w:rsidRPr="0092775A" w14:paraId="3FC3AC5D" w14:textId="77777777" w:rsidTr="00FE7C46">
        <w:trPr>
          <w:trHeight w:val="700"/>
        </w:trPr>
        <w:tc>
          <w:tcPr>
            <w:tcW w:w="1980" w:type="dxa"/>
            <w:shd w:val="clear" w:color="auto" w:fill="D9D9D9"/>
            <w:vAlign w:val="center"/>
          </w:tcPr>
          <w:p w14:paraId="537869CE"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TOPIC</w:t>
            </w:r>
          </w:p>
        </w:tc>
        <w:tc>
          <w:tcPr>
            <w:tcW w:w="7161" w:type="dxa"/>
            <w:gridSpan w:val="2"/>
            <w:vAlign w:val="center"/>
          </w:tcPr>
          <w:p w14:paraId="4D7FED69" w14:textId="77777777" w:rsidR="0092775A" w:rsidRPr="0092775A" w:rsidRDefault="0092775A" w:rsidP="00FE7C46">
            <w:pPr>
              <w:jc w:val="both"/>
              <w:rPr>
                <w:rFonts w:ascii="Arial Nova Light" w:eastAsia="Calibri" w:hAnsi="Arial Nova Light"/>
                <w:b/>
                <w:lang w:val="en-GB"/>
              </w:rPr>
            </w:pPr>
            <w:r w:rsidRPr="0092775A">
              <w:rPr>
                <w:rFonts w:ascii="Arial Nova Light" w:eastAsia="Calibri" w:hAnsi="Arial Nova Light"/>
                <w:b/>
                <w:lang w:val="en-GB"/>
              </w:rPr>
              <w:t>Communities advocating for equitable access to green spaces</w:t>
            </w:r>
          </w:p>
        </w:tc>
      </w:tr>
      <w:tr w:rsidR="0092775A" w:rsidRPr="0092775A" w14:paraId="00001C86" w14:textId="77777777" w:rsidTr="00FE7C46">
        <w:trPr>
          <w:trHeight w:val="700"/>
        </w:trPr>
        <w:tc>
          <w:tcPr>
            <w:tcW w:w="1980" w:type="dxa"/>
            <w:shd w:val="clear" w:color="auto" w:fill="D9D9D9"/>
            <w:vAlign w:val="center"/>
          </w:tcPr>
          <w:p w14:paraId="50B82FBF"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LEARNING CONTENT - DETAILED CHARACTERISTICS</w:t>
            </w:r>
          </w:p>
        </w:tc>
        <w:tc>
          <w:tcPr>
            <w:tcW w:w="7161" w:type="dxa"/>
            <w:gridSpan w:val="2"/>
            <w:vAlign w:val="center"/>
          </w:tcPr>
          <w:p w14:paraId="450C828F" w14:textId="77777777" w:rsidR="0092775A" w:rsidRPr="0092775A" w:rsidRDefault="0092775A" w:rsidP="00FE7C46">
            <w:pPr>
              <w:jc w:val="both"/>
              <w:rPr>
                <w:rFonts w:ascii="Arial Nova Light" w:eastAsia="Calibri" w:hAnsi="Arial Nova Light"/>
                <w:lang w:val="en-GB"/>
              </w:rPr>
            </w:pPr>
          </w:p>
          <w:p w14:paraId="0BF98F6E"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 xml:space="preserve">This class will explore how communities advocate for equitable access to green spaces in urban contexts. We will </w:t>
            </w:r>
            <w:proofErr w:type="spellStart"/>
            <w:r w:rsidRPr="0092775A">
              <w:rPr>
                <w:rFonts w:ascii="Arial Nova Light" w:eastAsia="Calibri" w:hAnsi="Arial Nova Light"/>
                <w:lang w:val="en-GB"/>
              </w:rPr>
              <w:t>analyze</w:t>
            </w:r>
            <w:proofErr w:type="spellEnd"/>
            <w:r w:rsidRPr="0092775A">
              <w:rPr>
                <w:rFonts w:ascii="Arial Nova Light" w:eastAsia="Calibri" w:hAnsi="Arial Nova Light"/>
                <w:lang w:val="en-GB"/>
              </w:rPr>
              <w:t xml:space="preserve"> case studies highlighting the efforts of marginalized communities to address disparities in green space distribution. By studying these cases, we aim to understand the strategies, challenges, and impacts of community-led initiatives in promoting social justice and enhancing urban well-being.</w:t>
            </w:r>
          </w:p>
        </w:tc>
      </w:tr>
      <w:tr w:rsidR="0092775A" w:rsidRPr="0092775A" w14:paraId="0ED8B58F" w14:textId="77777777" w:rsidTr="00FE7C46">
        <w:trPr>
          <w:trHeight w:val="700"/>
        </w:trPr>
        <w:tc>
          <w:tcPr>
            <w:tcW w:w="1980" w:type="dxa"/>
            <w:shd w:val="clear" w:color="auto" w:fill="D9D9D9"/>
            <w:vAlign w:val="center"/>
          </w:tcPr>
          <w:p w14:paraId="1F52DE94"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KEY WORDS</w:t>
            </w:r>
          </w:p>
        </w:tc>
        <w:tc>
          <w:tcPr>
            <w:tcW w:w="7161" w:type="dxa"/>
            <w:gridSpan w:val="2"/>
            <w:vAlign w:val="center"/>
          </w:tcPr>
          <w:p w14:paraId="49319973" w14:textId="77777777" w:rsidR="0092775A" w:rsidRPr="0092775A" w:rsidRDefault="0092775A" w:rsidP="00FE7C46">
            <w:pPr>
              <w:rPr>
                <w:rFonts w:ascii="Arial Nova Light" w:eastAsia="Calibri" w:hAnsi="Arial Nova Light"/>
                <w:lang w:val="en-GB"/>
              </w:rPr>
            </w:pPr>
            <w:r w:rsidRPr="0092775A">
              <w:rPr>
                <w:rFonts w:ascii="Arial Nova Light" w:eastAsia="Calibri" w:hAnsi="Arial Nova Light"/>
                <w:lang w:val="en-GB"/>
              </w:rPr>
              <w:t>Community advocacy, equitable access, green spaces, urban well-being, social justice.</w:t>
            </w:r>
          </w:p>
        </w:tc>
      </w:tr>
      <w:tr w:rsidR="0092775A" w:rsidRPr="0092775A" w14:paraId="4F73BE4A" w14:textId="77777777" w:rsidTr="00FE7C46">
        <w:trPr>
          <w:trHeight w:val="700"/>
        </w:trPr>
        <w:tc>
          <w:tcPr>
            <w:tcW w:w="1980" w:type="dxa"/>
            <w:shd w:val="clear" w:color="auto" w:fill="D9D9D9"/>
            <w:vAlign w:val="center"/>
          </w:tcPr>
          <w:p w14:paraId="2AB9EE31"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SUGGESTED TOOLS</w:t>
            </w:r>
          </w:p>
        </w:tc>
        <w:tc>
          <w:tcPr>
            <w:tcW w:w="7161" w:type="dxa"/>
            <w:gridSpan w:val="2"/>
            <w:vAlign w:val="center"/>
          </w:tcPr>
          <w:p w14:paraId="39F38CF7" w14:textId="77777777" w:rsidR="0092775A" w:rsidRPr="0092775A" w:rsidRDefault="0092775A" w:rsidP="00FE7C46">
            <w:pPr>
              <w:rPr>
                <w:rFonts w:ascii="Arial Nova Light" w:eastAsia="Calibri" w:hAnsi="Arial Nova Light"/>
                <w:lang w:val="en-GB"/>
              </w:rPr>
            </w:pPr>
            <w:r w:rsidRPr="0092775A">
              <w:rPr>
                <w:rFonts w:ascii="Arial Nova Light" w:eastAsia="Calibri" w:hAnsi="Arial Nova Light"/>
                <w:lang w:val="en-GB"/>
              </w:rPr>
              <w:t xml:space="preserve">Slides or presentations, Whiteboard or chalkboard, Internet access for data, </w:t>
            </w:r>
            <w:proofErr w:type="spellStart"/>
            <w:r w:rsidRPr="0092775A">
              <w:rPr>
                <w:rFonts w:ascii="Arial Nova Light" w:eastAsia="Calibri" w:hAnsi="Arial Nova Light"/>
                <w:lang w:val="en-GB"/>
              </w:rPr>
              <w:t>Mentimeter</w:t>
            </w:r>
            <w:proofErr w:type="spellEnd"/>
          </w:p>
        </w:tc>
      </w:tr>
      <w:tr w:rsidR="0092775A" w:rsidRPr="0092775A" w14:paraId="5A4D8D23" w14:textId="77777777" w:rsidTr="00FE7C46">
        <w:trPr>
          <w:trHeight w:val="700"/>
        </w:trPr>
        <w:tc>
          <w:tcPr>
            <w:tcW w:w="1980" w:type="dxa"/>
            <w:shd w:val="clear" w:color="auto" w:fill="D9D9D9"/>
            <w:vAlign w:val="center"/>
          </w:tcPr>
          <w:p w14:paraId="2657FF91"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TIPS / METHODOLOGICAL REMARKS</w:t>
            </w:r>
          </w:p>
          <w:p w14:paraId="18F4199F"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(If applicable)</w:t>
            </w:r>
          </w:p>
        </w:tc>
        <w:tc>
          <w:tcPr>
            <w:tcW w:w="7161" w:type="dxa"/>
            <w:gridSpan w:val="2"/>
            <w:vAlign w:val="center"/>
          </w:tcPr>
          <w:p w14:paraId="6787A839" w14:textId="77777777" w:rsidR="0092775A" w:rsidRPr="0092775A" w:rsidRDefault="0092775A" w:rsidP="00FE7C46">
            <w:pPr>
              <w:rPr>
                <w:rFonts w:ascii="Arial Nova Light" w:eastAsia="Calibri" w:hAnsi="Arial Nova Light"/>
                <w:lang w:val="en-GB"/>
              </w:rPr>
            </w:pPr>
            <w:r w:rsidRPr="0092775A">
              <w:rPr>
                <w:rFonts w:ascii="Arial Nova Light" w:eastAsia="Calibri" w:hAnsi="Arial Nova Light"/>
                <w:lang w:val="en-GB"/>
              </w:rPr>
              <w:t>During the class, students are encouraged to think critically by prompting discussions on the complexities of advocacy for community.</w:t>
            </w:r>
          </w:p>
        </w:tc>
      </w:tr>
      <w:tr w:rsidR="0092775A" w:rsidRPr="0092775A" w14:paraId="67B86EA4" w14:textId="77777777" w:rsidTr="00FE7C46">
        <w:trPr>
          <w:trHeight w:val="171"/>
        </w:trPr>
        <w:tc>
          <w:tcPr>
            <w:tcW w:w="1980" w:type="dxa"/>
            <w:vMerge w:val="restart"/>
            <w:shd w:val="clear" w:color="auto" w:fill="D9D9D9"/>
            <w:vAlign w:val="center"/>
          </w:tcPr>
          <w:p w14:paraId="6C2C7046"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 xml:space="preserve">IMPLEMENTATION OF THE CLASSES </w:t>
            </w:r>
          </w:p>
          <w:p w14:paraId="7FDC113B" w14:textId="77777777" w:rsidR="0092775A" w:rsidRPr="0092775A" w:rsidRDefault="0092775A" w:rsidP="00FE7C46">
            <w:pPr>
              <w:rPr>
                <w:rFonts w:ascii="Arial Nova Light" w:hAnsi="Arial Nova Light"/>
                <w:b/>
                <w:lang w:val="en-GB"/>
              </w:rPr>
            </w:pPr>
          </w:p>
        </w:tc>
        <w:tc>
          <w:tcPr>
            <w:tcW w:w="1842" w:type="dxa"/>
            <w:shd w:val="clear" w:color="auto" w:fill="D9D9D9"/>
            <w:vAlign w:val="center"/>
          </w:tcPr>
          <w:p w14:paraId="388E028A" w14:textId="77777777" w:rsidR="0092775A" w:rsidRPr="0092775A" w:rsidRDefault="0092775A" w:rsidP="00FE7C46">
            <w:pPr>
              <w:rPr>
                <w:rFonts w:ascii="Arial Nova Light" w:hAnsi="Arial Nova Light"/>
                <w:b/>
                <w:lang w:val="en-GB"/>
              </w:rPr>
            </w:pPr>
          </w:p>
          <w:p w14:paraId="3B043695"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STEP 1</w:t>
            </w:r>
          </w:p>
        </w:tc>
        <w:tc>
          <w:tcPr>
            <w:tcW w:w="5319" w:type="dxa"/>
            <w:vAlign w:val="center"/>
          </w:tcPr>
          <w:p w14:paraId="2BAED2CA"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Lecturer begins by explaining the significance of green spaces for urban residents' physical and mental well-being.</w:t>
            </w:r>
          </w:p>
          <w:p w14:paraId="6CD94EFF"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Introduction of the concept of community advocacy and its role in addressing urban inequalities.</w:t>
            </w:r>
          </w:p>
        </w:tc>
      </w:tr>
      <w:tr w:rsidR="0092775A" w:rsidRPr="0092775A" w14:paraId="42CAE8C1" w14:textId="77777777" w:rsidTr="00FE7C46">
        <w:trPr>
          <w:trHeight w:val="171"/>
        </w:trPr>
        <w:tc>
          <w:tcPr>
            <w:tcW w:w="1980" w:type="dxa"/>
            <w:vMerge/>
            <w:shd w:val="clear" w:color="auto" w:fill="D9D9D9"/>
            <w:vAlign w:val="center"/>
          </w:tcPr>
          <w:p w14:paraId="297979E6" w14:textId="77777777" w:rsidR="0092775A" w:rsidRPr="0092775A" w:rsidRDefault="0092775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34462ABF"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STEP 2</w:t>
            </w:r>
          </w:p>
        </w:tc>
        <w:tc>
          <w:tcPr>
            <w:tcW w:w="5319" w:type="dxa"/>
            <w:vAlign w:val="center"/>
          </w:tcPr>
          <w:p w14:paraId="02E2B217" w14:textId="77777777" w:rsidR="0092775A" w:rsidRPr="0092775A" w:rsidRDefault="0092775A" w:rsidP="00FE7C46">
            <w:pPr>
              <w:jc w:val="both"/>
              <w:rPr>
                <w:rFonts w:ascii="Arial Nova Light" w:hAnsi="Arial Nova Light"/>
                <w:lang w:val="en-GB"/>
              </w:rPr>
            </w:pPr>
            <w:r w:rsidRPr="0092775A">
              <w:rPr>
                <w:rFonts w:ascii="Arial Nova Light" w:hAnsi="Arial Nova Light"/>
                <w:lang w:val="en-GB"/>
              </w:rPr>
              <w:t>Lecturer presents the case study of "Behind the Gates," where residents of a gated community in Los Angeles sought exclusive access to public parks.</w:t>
            </w:r>
          </w:p>
          <w:p w14:paraId="4DD6C185" w14:textId="77777777" w:rsidR="0092775A" w:rsidRPr="0092775A" w:rsidRDefault="0092775A" w:rsidP="00FE7C46">
            <w:pPr>
              <w:jc w:val="both"/>
              <w:rPr>
                <w:rFonts w:ascii="Arial Nova Light" w:hAnsi="Arial Nova Light"/>
                <w:lang w:val="en-GB"/>
              </w:rPr>
            </w:pPr>
            <w:proofErr w:type="spellStart"/>
            <w:r w:rsidRPr="0092775A">
              <w:rPr>
                <w:rFonts w:ascii="Arial Nova Light" w:hAnsi="Arial Nova Light"/>
                <w:lang w:val="en-GB"/>
              </w:rPr>
              <w:t>Analyzing</w:t>
            </w:r>
            <w:proofErr w:type="spellEnd"/>
            <w:r w:rsidRPr="0092775A">
              <w:rPr>
                <w:rFonts w:ascii="Arial Nova Light" w:hAnsi="Arial Nova Light"/>
                <w:lang w:val="en-GB"/>
              </w:rPr>
              <w:t xml:space="preserve"> the community's motivations, strategies, and the broader implications for urban inclusivity.</w:t>
            </w:r>
          </w:p>
        </w:tc>
      </w:tr>
      <w:tr w:rsidR="0092775A" w:rsidRPr="0092775A" w14:paraId="75D90C50" w14:textId="77777777" w:rsidTr="00FE7C46">
        <w:trPr>
          <w:trHeight w:val="85"/>
        </w:trPr>
        <w:tc>
          <w:tcPr>
            <w:tcW w:w="1980" w:type="dxa"/>
            <w:vMerge/>
            <w:shd w:val="clear" w:color="auto" w:fill="D9D9D9"/>
            <w:vAlign w:val="center"/>
          </w:tcPr>
          <w:p w14:paraId="7D5011FF" w14:textId="77777777" w:rsidR="0092775A" w:rsidRPr="0092775A" w:rsidRDefault="0092775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3CF5455"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STEP 3</w:t>
            </w:r>
          </w:p>
        </w:tc>
        <w:tc>
          <w:tcPr>
            <w:tcW w:w="5319" w:type="dxa"/>
            <w:vAlign w:val="center"/>
          </w:tcPr>
          <w:p w14:paraId="43E2FB8C"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 xml:space="preserve">Viewing of a video lecture by Setha Low: </w:t>
            </w:r>
            <w:hyperlink r:id="rId5" w:history="1">
              <w:r w:rsidRPr="0092775A">
                <w:rPr>
                  <w:rStyle w:val="Hyperlink"/>
                  <w:rFonts w:ascii="Arial Nova Light" w:eastAsia="Calibri" w:hAnsi="Arial Nova Light"/>
                  <w:lang w:val="en-GB"/>
                </w:rPr>
                <w:t>https://www.youtube.com/watch?v=BAtfqjAksgU</w:t>
              </w:r>
            </w:hyperlink>
            <w:r w:rsidRPr="0092775A">
              <w:rPr>
                <w:rFonts w:ascii="Arial Nova Light" w:eastAsia="Calibri" w:hAnsi="Arial Nova Light"/>
                <w:lang w:val="en-GB"/>
              </w:rPr>
              <w:t xml:space="preserve"> </w:t>
            </w:r>
          </w:p>
        </w:tc>
      </w:tr>
      <w:tr w:rsidR="0092775A" w:rsidRPr="0092775A" w14:paraId="55E23429" w14:textId="77777777" w:rsidTr="00FE7C46">
        <w:trPr>
          <w:trHeight w:val="84"/>
        </w:trPr>
        <w:tc>
          <w:tcPr>
            <w:tcW w:w="1980" w:type="dxa"/>
            <w:vMerge/>
            <w:shd w:val="clear" w:color="auto" w:fill="D9D9D9"/>
            <w:vAlign w:val="center"/>
          </w:tcPr>
          <w:p w14:paraId="22BA4CD4" w14:textId="77777777" w:rsidR="0092775A" w:rsidRPr="0092775A" w:rsidRDefault="0092775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60222CEB"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STEP 4</w:t>
            </w:r>
          </w:p>
        </w:tc>
        <w:tc>
          <w:tcPr>
            <w:tcW w:w="5319" w:type="dxa"/>
            <w:vAlign w:val="center"/>
          </w:tcPr>
          <w:p w14:paraId="1A220D4A"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 xml:space="preserve">Together with students the lecturer explores the positive outcomes of community advocacy, including </w:t>
            </w:r>
            <w:r w:rsidRPr="0092775A">
              <w:rPr>
                <w:rFonts w:ascii="Arial Nova Light" w:eastAsia="Calibri" w:hAnsi="Arial Nova Light"/>
                <w:lang w:val="en-GB"/>
              </w:rPr>
              <w:lastRenderedPageBreak/>
              <w:t>increased access to green spaces, social cohesion, and empowerment.</w:t>
            </w:r>
          </w:p>
          <w:p w14:paraId="27648229" w14:textId="77777777" w:rsidR="0092775A" w:rsidRPr="0092775A" w:rsidRDefault="0092775A" w:rsidP="00FE7C46">
            <w:pPr>
              <w:jc w:val="both"/>
              <w:rPr>
                <w:rFonts w:ascii="Arial Nova Light" w:eastAsia="Calibri" w:hAnsi="Arial Nova Light"/>
                <w:lang w:val="en-GB"/>
              </w:rPr>
            </w:pPr>
            <w:r w:rsidRPr="0092775A">
              <w:rPr>
                <w:rFonts w:ascii="Arial Nova Light" w:eastAsia="Calibri" w:hAnsi="Arial Nova Light"/>
                <w:lang w:val="en-GB"/>
              </w:rPr>
              <w:t>Address challenges faced by community-led initiatives, such as limited resources and potential conflicts.</w:t>
            </w:r>
          </w:p>
        </w:tc>
      </w:tr>
      <w:tr w:rsidR="0092775A" w:rsidRPr="0092775A" w14:paraId="0CDEB0C1" w14:textId="77777777" w:rsidTr="00FE7C46">
        <w:trPr>
          <w:trHeight w:val="1434"/>
        </w:trPr>
        <w:tc>
          <w:tcPr>
            <w:tcW w:w="1980" w:type="dxa"/>
            <w:vMerge/>
            <w:shd w:val="clear" w:color="auto" w:fill="D9D9D9"/>
            <w:vAlign w:val="center"/>
          </w:tcPr>
          <w:p w14:paraId="61F7FDDB" w14:textId="77777777" w:rsidR="0092775A" w:rsidRPr="0092775A" w:rsidRDefault="0092775A" w:rsidP="00FE7C46">
            <w:pPr>
              <w:widowControl w:val="0"/>
              <w:pBdr>
                <w:top w:val="nil"/>
                <w:left w:val="nil"/>
                <w:bottom w:val="nil"/>
                <w:right w:val="nil"/>
                <w:between w:val="nil"/>
              </w:pBdr>
              <w:rPr>
                <w:rFonts w:ascii="Arial Nova Light" w:eastAsia="Calibri" w:hAnsi="Arial Nova Light"/>
                <w:lang w:val="en-GB"/>
              </w:rPr>
            </w:pPr>
          </w:p>
        </w:tc>
        <w:tc>
          <w:tcPr>
            <w:tcW w:w="1842" w:type="dxa"/>
            <w:shd w:val="clear" w:color="auto" w:fill="D9D9D9"/>
            <w:vAlign w:val="center"/>
          </w:tcPr>
          <w:p w14:paraId="01D2A928" w14:textId="77777777" w:rsidR="0092775A" w:rsidRPr="0092775A" w:rsidRDefault="0092775A" w:rsidP="00FE7C46">
            <w:pPr>
              <w:rPr>
                <w:rFonts w:ascii="Arial Nova Light" w:hAnsi="Arial Nova Light"/>
                <w:b/>
                <w:lang w:val="en-GB"/>
              </w:rPr>
            </w:pPr>
            <w:r w:rsidRPr="0092775A">
              <w:rPr>
                <w:rFonts w:ascii="Arial Nova Light" w:hAnsi="Arial Nova Light"/>
                <w:b/>
                <w:lang w:val="en-GB"/>
              </w:rPr>
              <w:t>STEP 5</w:t>
            </w:r>
          </w:p>
        </w:tc>
        <w:tc>
          <w:tcPr>
            <w:tcW w:w="5319" w:type="dxa"/>
            <w:vAlign w:val="center"/>
          </w:tcPr>
          <w:p w14:paraId="09B01AE8" w14:textId="77777777" w:rsidR="0092775A" w:rsidRPr="0092775A" w:rsidRDefault="0092775A" w:rsidP="00FE7C46">
            <w:pPr>
              <w:rPr>
                <w:rFonts w:ascii="Arial Nova Light" w:eastAsia="Calibri" w:hAnsi="Arial Nova Light"/>
                <w:lang w:val="en-GB"/>
              </w:rPr>
            </w:pPr>
            <w:r w:rsidRPr="0092775A">
              <w:rPr>
                <w:rFonts w:ascii="Arial Nova Light" w:eastAsia="Calibri" w:hAnsi="Arial Nova Light"/>
                <w:lang w:val="en-GB"/>
              </w:rPr>
              <w:t>Conclusion and reflections: Recap of key concepts and takeaways from the class.</w:t>
            </w:r>
          </w:p>
          <w:p w14:paraId="4404F2AD" w14:textId="77777777" w:rsidR="0092775A" w:rsidRPr="0092775A" w:rsidRDefault="0092775A" w:rsidP="00FE7C46">
            <w:pPr>
              <w:rPr>
                <w:rFonts w:ascii="Arial Nova Light" w:eastAsia="Calibri" w:hAnsi="Arial Nova Light"/>
                <w:lang w:val="en-GB"/>
              </w:rPr>
            </w:pPr>
          </w:p>
        </w:tc>
      </w:tr>
    </w:tbl>
    <w:p w14:paraId="562FA578" w14:textId="77777777" w:rsidR="0092775A" w:rsidRPr="0092775A" w:rsidRDefault="0092775A" w:rsidP="0092775A">
      <w:pPr>
        <w:rPr>
          <w:rFonts w:ascii="Arial Nova Light" w:hAnsi="Arial Nova Light"/>
          <w:lang w:val="en-GB"/>
        </w:rPr>
      </w:pPr>
      <w:r w:rsidRPr="0092775A">
        <w:rPr>
          <w:rFonts w:ascii="Arial Nova Light" w:hAnsi="Arial Nova Light"/>
          <w:lang w:val="en-GB"/>
        </w:rPr>
        <w:t xml:space="preserve"> </w:t>
      </w:r>
    </w:p>
    <w:p w14:paraId="7CEBBFC3" w14:textId="77777777" w:rsidR="0092775A" w:rsidRPr="0092775A" w:rsidRDefault="0092775A" w:rsidP="0092775A">
      <w:pPr>
        <w:rPr>
          <w:rFonts w:ascii="Arial Nova Light" w:hAnsi="Arial Nova Light"/>
          <w:b/>
          <w:lang w:val="en-GB"/>
        </w:rPr>
      </w:pPr>
      <w:r w:rsidRPr="0092775A">
        <w:rPr>
          <w:rFonts w:ascii="Arial Nova Light" w:hAnsi="Arial Nova Light"/>
          <w:b/>
          <w:lang w:val="en-GB"/>
        </w:rPr>
        <w:t>ADITIONAL MATERIAL 6 (WORK CARD, ASSIGNMENT)</w:t>
      </w:r>
    </w:p>
    <w:p w14:paraId="7B288D81" w14:textId="77777777" w:rsidR="0092775A" w:rsidRPr="0092775A" w:rsidRDefault="0092775A" w:rsidP="0092775A">
      <w:pPr>
        <w:rPr>
          <w:rFonts w:ascii="Arial Nova Light" w:hAnsi="Arial Nova Light"/>
          <w:bCs/>
          <w:lang w:val="en-GB"/>
        </w:rPr>
      </w:pPr>
      <w:r w:rsidRPr="0092775A">
        <w:rPr>
          <w:rFonts w:ascii="Arial Nova Light" w:hAnsi="Arial Nova Light"/>
          <w:bCs/>
          <w:lang w:val="en-GB"/>
        </w:rPr>
        <w:t>Task:</w:t>
      </w:r>
    </w:p>
    <w:p w14:paraId="5DC97CD5" w14:textId="77777777" w:rsidR="0092775A" w:rsidRPr="0092775A" w:rsidRDefault="0092775A" w:rsidP="0092775A">
      <w:pPr>
        <w:pStyle w:val="ListParagraph"/>
        <w:numPr>
          <w:ilvl w:val="0"/>
          <w:numId w:val="9"/>
        </w:numPr>
        <w:rPr>
          <w:rFonts w:ascii="Arial Nova Light" w:hAnsi="Arial Nova Light"/>
          <w:bCs/>
          <w:lang w:val="en-GB"/>
        </w:rPr>
      </w:pPr>
      <w:r w:rsidRPr="0092775A">
        <w:rPr>
          <w:rFonts w:ascii="Arial Nova Light" w:hAnsi="Arial Nova Light"/>
          <w:bCs/>
          <w:lang w:val="en-GB"/>
        </w:rPr>
        <w:t>Reflect on the case studies presented in class that highlighted community efforts to ensure equitable access to green spaces. Write a thoughtful response to each of the following open-ended questions:</w:t>
      </w:r>
    </w:p>
    <w:p w14:paraId="15C6D1AC" w14:textId="77777777" w:rsidR="0092775A" w:rsidRPr="0092775A" w:rsidRDefault="0092775A" w:rsidP="0092775A">
      <w:pPr>
        <w:pStyle w:val="ListParagraph"/>
        <w:numPr>
          <w:ilvl w:val="0"/>
          <w:numId w:val="9"/>
        </w:numPr>
        <w:rPr>
          <w:rFonts w:ascii="Arial Nova Light" w:hAnsi="Arial Nova Light"/>
          <w:bCs/>
          <w:lang w:val="en-GB"/>
        </w:rPr>
      </w:pPr>
      <w:r w:rsidRPr="0092775A">
        <w:rPr>
          <w:rFonts w:ascii="Arial Nova Light" w:hAnsi="Arial Nova Light"/>
          <w:bCs/>
          <w:lang w:val="en-GB"/>
        </w:rPr>
        <w:t>Reflect on the positive outcomes of community advocacy for green space access, such as increased social cohesion and empowerment. How do you envision these outcomes contributing to broader urban well-being and social equity?</w:t>
      </w:r>
    </w:p>
    <w:p w14:paraId="0766623E" w14:textId="77777777" w:rsidR="0092775A" w:rsidRPr="0092775A" w:rsidRDefault="0092775A" w:rsidP="0092775A">
      <w:pPr>
        <w:pStyle w:val="ListParagraph"/>
        <w:numPr>
          <w:ilvl w:val="0"/>
          <w:numId w:val="9"/>
        </w:numPr>
        <w:rPr>
          <w:rFonts w:ascii="Arial Nova Light" w:hAnsi="Arial Nova Light"/>
          <w:bCs/>
          <w:lang w:val="en-GB"/>
        </w:rPr>
      </w:pPr>
      <w:r w:rsidRPr="0092775A">
        <w:rPr>
          <w:rFonts w:ascii="Arial Nova Light" w:hAnsi="Arial Nova Light"/>
          <w:bCs/>
          <w:lang w:val="en-GB"/>
        </w:rPr>
        <w:t>From the cases discussed, identify common strategies employed by communities in advocating for equitable access to green spaces. How can these strategies be adapted and applied in other contexts to promote social justice in urban areas?</w:t>
      </w:r>
    </w:p>
    <w:p w14:paraId="7DD3A52F" w14:textId="77777777" w:rsidR="0092775A" w:rsidRPr="0092775A" w:rsidRDefault="0092775A" w:rsidP="0092775A">
      <w:pPr>
        <w:pStyle w:val="ListParagraph"/>
        <w:numPr>
          <w:ilvl w:val="0"/>
          <w:numId w:val="9"/>
        </w:numPr>
        <w:rPr>
          <w:rFonts w:ascii="Arial Nova Light" w:hAnsi="Arial Nova Light"/>
          <w:bCs/>
          <w:lang w:val="en-GB"/>
        </w:rPr>
      </w:pPr>
      <w:r w:rsidRPr="0092775A">
        <w:rPr>
          <w:rFonts w:ascii="Arial Nova Light" w:hAnsi="Arial Nova Light"/>
          <w:bCs/>
          <w:lang w:val="en-GB"/>
        </w:rPr>
        <w:t>Imagine you are part of a community facing limited access to green spaces. Based on your understanding of community advocacy, propose two actionable steps your community could take to address this issue. How might these steps positively impact both the environment and community well-being?</w:t>
      </w:r>
    </w:p>
    <w:p w14:paraId="3B74F2E9" w14:textId="77777777" w:rsidR="0092775A" w:rsidRPr="0092775A" w:rsidRDefault="0092775A" w:rsidP="0092775A">
      <w:pPr>
        <w:rPr>
          <w:rFonts w:ascii="Arial Nova Light" w:hAnsi="Arial Nova Light"/>
          <w:bCs/>
          <w:lang w:val="en-GB"/>
        </w:rPr>
      </w:pPr>
      <w:r w:rsidRPr="0092775A">
        <w:rPr>
          <w:rFonts w:ascii="Arial Nova Light" w:hAnsi="Arial Nova Light"/>
          <w:bCs/>
          <w:lang w:val="en-GB"/>
        </w:rPr>
        <w:t>Submission Guidelines:</w:t>
      </w:r>
    </w:p>
    <w:p w14:paraId="1097B1C9" w14:textId="77777777" w:rsidR="0092775A" w:rsidRPr="0092775A" w:rsidRDefault="0092775A" w:rsidP="0092775A">
      <w:pPr>
        <w:pStyle w:val="ListParagraph"/>
        <w:numPr>
          <w:ilvl w:val="0"/>
          <w:numId w:val="8"/>
        </w:numPr>
        <w:rPr>
          <w:rFonts w:ascii="Arial Nova Light" w:hAnsi="Arial Nova Light"/>
          <w:bCs/>
          <w:lang w:val="en-GB"/>
        </w:rPr>
      </w:pPr>
      <w:r w:rsidRPr="0092775A">
        <w:rPr>
          <w:rFonts w:ascii="Arial Nova Light" w:hAnsi="Arial Nova Light"/>
          <w:bCs/>
          <w:lang w:val="en-GB"/>
        </w:rPr>
        <w:t>Write a well-structured response to each question, ensuring clarity and coherence.</w:t>
      </w:r>
    </w:p>
    <w:p w14:paraId="268C1708" w14:textId="77777777" w:rsidR="0092775A" w:rsidRPr="0092775A" w:rsidRDefault="0092775A" w:rsidP="0092775A">
      <w:pPr>
        <w:pStyle w:val="ListParagraph"/>
        <w:numPr>
          <w:ilvl w:val="0"/>
          <w:numId w:val="8"/>
        </w:numPr>
        <w:rPr>
          <w:rFonts w:ascii="Arial Nova Light" w:hAnsi="Arial Nova Light"/>
          <w:bCs/>
          <w:lang w:val="en-GB"/>
        </w:rPr>
      </w:pPr>
      <w:r w:rsidRPr="0092775A">
        <w:rPr>
          <w:rFonts w:ascii="Arial Nova Light" w:hAnsi="Arial Nova Light"/>
          <w:bCs/>
          <w:lang w:val="en-GB"/>
        </w:rPr>
        <w:t>Your responses should collectively be around 800 to 1000 words.</w:t>
      </w:r>
    </w:p>
    <w:p w14:paraId="675C4B6C" w14:textId="77777777" w:rsidR="0092775A" w:rsidRPr="0092775A" w:rsidRDefault="0092775A" w:rsidP="0092775A">
      <w:pPr>
        <w:pStyle w:val="ListParagraph"/>
        <w:numPr>
          <w:ilvl w:val="0"/>
          <w:numId w:val="8"/>
        </w:numPr>
        <w:rPr>
          <w:rFonts w:ascii="Arial Nova Light" w:hAnsi="Arial Nova Light"/>
          <w:bCs/>
          <w:lang w:val="en-GB"/>
        </w:rPr>
      </w:pPr>
      <w:r w:rsidRPr="0092775A">
        <w:rPr>
          <w:rFonts w:ascii="Arial Nova Light" w:hAnsi="Arial Nova Light"/>
          <w:bCs/>
          <w:lang w:val="en-GB"/>
        </w:rPr>
        <w:t>Use relevant examples from the case studies to support your reflections.</w:t>
      </w:r>
    </w:p>
    <w:p w14:paraId="5AC64CF1" w14:textId="77777777" w:rsidR="0092775A" w:rsidRPr="0092775A" w:rsidRDefault="0092775A" w:rsidP="0092775A">
      <w:pPr>
        <w:pStyle w:val="ListParagraph"/>
        <w:numPr>
          <w:ilvl w:val="0"/>
          <w:numId w:val="8"/>
        </w:numPr>
        <w:rPr>
          <w:rFonts w:ascii="Arial Nova Light" w:hAnsi="Arial Nova Light"/>
          <w:bCs/>
          <w:lang w:val="en-GB"/>
        </w:rPr>
      </w:pPr>
      <w:r w:rsidRPr="0092775A">
        <w:rPr>
          <w:rFonts w:ascii="Arial Nova Light" w:hAnsi="Arial Nova Light"/>
          <w:bCs/>
          <w:lang w:val="en-GB"/>
        </w:rPr>
        <w:t>Submit your assignment in a document format (PDF or Word) by the specified deadline.</w:t>
      </w:r>
    </w:p>
    <w:p w14:paraId="20AA5D3B" w14:textId="77777777" w:rsidR="00D34EA1" w:rsidRPr="0092775A" w:rsidRDefault="00D34EA1" w:rsidP="0092775A"/>
    <w:sectPr w:rsidR="00D34EA1" w:rsidRPr="0092775A">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D3B"/>
    <w:multiLevelType w:val="hybridMultilevel"/>
    <w:tmpl w:val="9EC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94164"/>
    <w:multiLevelType w:val="hybridMultilevel"/>
    <w:tmpl w:val="A33A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A14E9"/>
    <w:multiLevelType w:val="hybridMultilevel"/>
    <w:tmpl w:val="C432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535CC"/>
    <w:multiLevelType w:val="hybridMultilevel"/>
    <w:tmpl w:val="1516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C0597"/>
    <w:multiLevelType w:val="hybridMultilevel"/>
    <w:tmpl w:val="5EF08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3032FC"/>
    <w:multiLevelType w:val="hybridMultilevel"/>
    <w:tmpl w:val="2FEE2F3E"/>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6" w15:restartNumberingAfterBreak="0">
    <w:nsid w:val="57DA064D"/>
    <w:multiLevelType w:val="hybridMultilevel"/>
    <w:tmpl w:val="C0B6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7658BC"/>
    <w:multiLevelType w:val="hybridMultilevel"/>
    <w:tmpl w:val="C032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61E3B"/>
    <w:multiLevelType w:val="hybridMultilevel"/>
    <w:tmpl w:val="C61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7285639">
    <w:abstractNumId w:val="0"/>
  </w:num>
  <w:num w:numId="2" w16cid:durableId="2134714394">
    <w:abstractNumId w:val="3"/>
  </w:num>
  <w:num w:numId="3" w16cid:durableId="416902745">
    <w:abstractNumId w:val="2"/>
  </w:num>
  <w:num w:numId="4" w16cid:durableId="574509550">
    <w:abstractNumId w:val="5"/>
  </w:num>
  <w:num w:numId="5" w16cid:durableId="1524048433">
    <w:abstractNumId w:val="8"/>
  </w:num>
  <w:num w:numId="6" w16cid:durableId="1799060627">
    <w:abstractNumId w:val="6"/>
  </w:num>
  <w:num w:numId="7" w16cid:durableId="673460059">
    <w:abstractNumId w:val="7"/>
  </w:num>
  <w:num w:numId="8" w16cid:durableId="83427845">
    <w:abstractNumId w:val="1"/>
  </w:num>
  <w:num w:numId="9" w16cid:durableId="1421758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5A"/>
    <w:rsid w:val="00024CC7"/>
    <w:rsid w:val="00066CD0"/>
    <w:rsid w:val="00237B12"/>
    <w:rsid w:val="002D1DE3"/>
    <w:rsid w:val="005E1DF0"/>
    <w:rsid w:val="00646F48"/>
    <w:rsid w:val="00817D4A"/>
    <w:rsid w:val="008A69AD"/>
    <w:rsid w:val="0092775A"/>
    <w:rsid w:val="009452CA"/>
    <w:rsid w:val="00956807"/>
    <w:rsid w:val="00B21766"/>
    <w:rsid w:val="00B60E0E"/>
    <w:rsid w:val="00C6745A"/>
    <w:rsid w:val="00C8587F"/>
    <w:rsid w:val="00D34EA1"/>
    <w:rsid w:val="00D8734A"/>
    <w:rsid w:val="00EB2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E50"/>
  <w15:chartTrackingRefBased/>
  <w15:docId w15:val="{592FCC01-C935-426B-AF1B-32D59275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34A"/>
    <w:pPr>
      <w:spacing w:after="200" w:line="276" w:lineRule="auto"/>
    </w:pPr>
    <w:rPr>
      <w:rFonts w:ascii="Calibri" w:eastAsiaTheme="minorEastAsia" w:hAnsi="Calibri" w:cs="Calibri"/>
      <w:lang w:val="en-US"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34A"/>
    <w:pPr>
      <w:ind w:left="720"/>
      <w:contextualSpacing/>
    </w:pPr>
  </w:style>
  <w:style w:type="character" w:styleId="Hyperlink">
    <w:name w:val="Hyperlink"/>
    <w:uiPriority w:val="99"/>
    <w:unhideWhenUsed/>
    <w:rsid w:val="009277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AtfqjAksg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2146</Words>
  <Characters>1224</Characters>
  <Application>Microsoft Office Word</Application>
  <DocSecurity>0</DocSecurity>
  <Lines>10</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Mykolė Lukošienė</dc:creator>
  <cp:keywords/>
  <dc:description/>
  <cp:lastModifiedBy>Mykolė Lukošienė</cp:lastModifiedBy>
  <cp:revision>13</cp:revision>
  <dcterms:created xsi:type="dcterms:W3CDTF">2023-12-13T12:57:00Z</dcterms:created>
  <dcterms:modified xsi:type="dcterms:W3CDTF">2023-12-13T14:12:00Z</dcterms:modified>
</cp:coreProperties>
</file>