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4B33" w14:textId="7BED5CA8" w:rsidR="005D0864" w:rsidRPr="007918AB" w:rsidRDefault="00ED3B08" w:rsidP="008C37F0">
      <w:pPr>
        <w:spacing w:after="360"/>
        <w:jc w:val="center"/>
        <w:rPr>
          <w:rFonts w:ascii="PT Sans" w:eastAsia="Times New Roman" w:hAnsi="PT Sans" w:cs="Calibri"/>
          <w:b/>
          <w:smallCaps/>
          <w:lang w:val="en-US" w:eastAsia="pl-PL"/>
        </w:rPr>
      </w:pPr>
      <w:bookmarkStart w:id="0" w:name="_GoBack"/>
      <w:bookmarkEnd w:id="0"/>
      <w:r>
        <w:rPr>
          <w:rFonts w:ascii="PT Sans" w:eastAsia="Times New Roman" w:hAnsi="PT Sans" w:cs="Calibri"/>
          <w:b/>
          <w:smallCaps/>
          <w:sz w:val="28"/>
          <w:lang w:val="en-US" w:eastAsia="pl-PL"/>
        </w:rPr>
        <w:t>COURSE SCENARIO</w:t>
      </w:r>
    </w:p>
    <w:p w14:paraId="09EFA64B" w14:textId="77777777" w:rsidR="005D0864" w:rsidRPr="005D0864" w:rsidRDefault="005D0864" w:rsidP="008C37F0">
      <w:pPr>
        <w:spacing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5D0864">
        <w:rPr>
          <w:rFonts w:ascii="PT Sans" w:eastAsia="Times New Roman" w:hAnsi="PT Sans" w:cs="Calibri"/>
          <w:b/>
          <w:lang w:val="en-US" w:eastAsia="pl-PL"/>
        </w:rPr>
        <w:t>PART 1. COURSE DESCRIPTION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8C37F0" w:rsidRPr="005D0864" w14:paraId="5876DFFC" w14:textId="77777777" w:rsidTr="00C7030D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CB38A7" w14:textId="54905F82" w:rsidR="005D0864" w:rsidRPr="005D0864" w:rsidRDefault="005D0864" w:rsidP="00FC5687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SUBJECT</w:t>
            </w:r>
            <w:r w:rsidR="00753A03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</w:t>
            </w: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/</w:t>
            </w:r>
            <w:r w:rsidR="00753A03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</w:t>
            </w: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0F812E3A" w:rsidR="005D0864" w:rsidRPr="005D0864" w:rsidRDefault="00B53D97" w:rsidP="00FC5687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sz w:val="24"/>
                <w:szCs w:val="20"/>
                <w:lang w:val="en-US" w:eastAsia="pl-PL"/>
              </w:rPr>
            </w:pPr>
            <w:r w:rsidRPr="00B53D97">
              <w:rPr>
                <w:rFonts w:ascii="PT Sans" w:eastAsia="Times New Roman" w:hAnsi="PT Sans" w:cs="Calibri"/>
                <w:b/>
                <w:i/>
                <w:szCs w:val="20"/>
                <w:lang w:val="en-US" w:eastAsia="pl-PL"/>
              </w:rPr>
              <w:t>Gender Equality in Society</w:t>
            </w:r>
          </w:p>
        </w:tc>
      </w:tr>
      <w:tr w:rsidR="008C37F0" w:rsidRPr="005D0864" w14:paraId="22F7B6DB" w14:textId="77777777" w:rsidTr="00C7030D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637B9CCA" w14:textId="781F64C0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MODE </w:t>
            </w:r>
            <w:r w:rsidR="007918AB" w:rsidRPr="00F51209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br/>
            </w:r>
            <w:r w:rsidRPr="00FD67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(online, face-to-face, blended)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183ACDD9" w14:textId="65E7A02C" w:rsidR="005D0864" w:rsidRPr="005D0864" w:rsidRDefault="002C6F15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blended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0DFE4B0C" w14:textId="77777777" w:rsidR="007918AB" w:rsidRPr="00F51209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LEVEL</w:t>
            </w:r>
          </w:p>
          <w:p w14:paraId="142EABCE" w14:textId="6F91B5B1" w:rsidR="005D0864" w:rsidRPr="00FD67C8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D67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(master, bachelor)</w:t>
            </w:r>
          </w:p>
        </w:tc>
        <w:tc>
          <w:tcPr>
            <w:tcW w:w="6804" w:type="dxa"/>
            <w:vAlign w:val="center"/>
          </w:tcPr>
          <w:p w14:paraId="5D81B2CF" w14:textId="4F72B877" w:rsidR="005D0864" w:rsidRPr="005D0864" w:rsidRDefault="002C6F15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For all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0CFC266D" w14:textId="77777777" w:rsidR="007918AB" w:rsidRPr="00F51209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PREREQUISITES </w:t>
            </w:r>
          </w:p>
          <w:p w14:paraId="78C11A7F" w14:textId="753E31C6" w:rsidR="005D0864" w:rsidRPr="00FD67C8" w:rsidRDefault="007918AB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D67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(courses to be taken before, if </w:t>
            </w:r>
            <w:r w:rsidR="005D0864" w:rsidRPr="00FD67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applicable)</w:t>
            </w:r>
          </w:p>
        </w:tc>
        <w:tc>
          <w:tcPr>
            <w:tcW w:w="6804" w:type="dxa"/>
            <w:vAlign w:val="center"/>
          </w:tcPr>
          <w:p w14:paraId="23227638" w14:textId="61BCE54F" w:rsidR="005D0864" w:rsidRPr="005D0864" w:rsidRDefault="002C6F15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-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5CCFF4A" w:rsidR="005D0864" w:rsidRPr="005D0864" w:rsidRDefault="00753A03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SUMMARY / ANNOTATION OF </w:t>
            </w:r>
            <w:r w:rsidR="005D0864"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THE CONTENT</w:t>
            </w:r>
          </w:p>
        </w:tc>
        <w:tc>
          <w:tcPr>
            <w:tcW w:w="6804" w:type="dxa"/>
          </w:tcPr>
          <w:p w14:paraId="399E0A6E" w14:textId="0C72563E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 and gender in social sciences-introduction to sociology of gender</w:t>
            </w:r>
          </w:p>
          <w:p w14:paraId="7F02FC71" w14:textId="7C3446F4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stereotypes for body, behavior, and social relations</w:t>
            </w:r>
          </w:p>
          <w:p w14:paraId="309B7D21" w14:textId="0659EACD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identity in the modern world</w:t>
            </w:r>
          </w:p>
          <w:p w14:paraId="581C1B0D" w14:textId="3BBE38CD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Representations of gender in advertising </w:t>
            </w:r>
          </w:p>
          <w:p w14:paraId="4946A72D" w14:textId="28F02795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mass media and pop culture</w:t>
            </w:r>
          </w:p>
          <w:p w14:paraId="368840F1" w14:textId="2EC1E7CA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Gender, education and development</w:t>
            </w:r>
          </w:p>
          <w:p w14:paraId="24301DFE" w14:textId="263087B6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social space</w:t>
            </w:r>
          </w:p>
          <w:p w14:paraId="64FB54D7" w14:textId="63550CE2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science</w:t>
            </w:r>
          </w:p>
          <w:p w14:paraId="18F2A575" w14:textId="58631D95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law – introductory remarks</w:t>
            </w:r>
          </w:p>
          <w:p w14:paraId="2FC23BD1" w14:textId="4E5DFA27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Feminism and information gap</w:t>
            </w:r>
          </w:p>
          <w:p w14:paraId="497D9140" w14:textId="7B411D0A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political sphere</w:t>
            </w:r>
          </w:p>
          <w:p w14:paraId="713A134C" w14:textId="4340823F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the </w:t>
            </w:r>
            <w:proofErr w:type="spellStart"/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</w:t>
            </w:r>
          </w:p>
          <w:p w14:paraId="5C033CA6" w14:textId="194E9C2C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private sphere - part 1</w:t>
            </w:r>
          </w:p>
          <w:p w14:paraId="033A97D5" w14:textId="792A5D78" w:rsidR="002C6F15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private sphere - part 2</w:t>
            </w:r>
          </w:p>
          <w:p w14:paraId="608AAB2C" w14:textId="358D2B3F" w:rsidR="005D0864" w:rsidRPr="002C6F15" w:rsidRDefault="002C6F15" w:rsidP="002C6F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6F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Equality Plans</w:t>
            </w:r>
          </w:p>
        </w:tc>
      </w:tr>
      <w:tr w:rsidR="008C37F0" w:rsidRPr="005D0864" w14:paraId="00F2725E" w14:textId="77777777" w:rsidTr="00172D90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6E89782" w14:textId="6BCA961B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THE AIMS OF THE COURSE</w:t>
            </w:r>
          </w:p>
          <w:p w14:paraId="04094413" w14:textId="77777777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59893CE8" w14:textId="59731E48" w:rsidR="005D0864" w:rsidRPr="005C141A" w:rsidRDefault="005C141A" w:rsidP="005C14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The course aims to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familiarise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students with various aspects of social inequality, primarily determined by gender and gender-related stereotypes. The classes will focus on the gap between legal guarantees of equality and facts, identify specific barriers women and men face in media, the political sphere, advertising, the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market, the private sphere, etc., and propose concrete measures to eliminate them.</w:t>
            </w:r>
          </w:p>
        </w:tc>
      </w:tr>
      <w:tr w:rsidR="008C37F0" w:rsidRPr="005D0864" w14:paraId="3F089A33" w14:textId="77777777" w:rsidTr="00172D90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290820" w14:textId="532C61A2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OUTCOMES</w:t>
            </w:r>
          </w:p>
          <w:p w14:paraId="0529818E" w14:textId="77777777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338C8560" w14:textId="77777777" w:rsidR="005C141A" w:rsidRPr="005C141A" w:rsidRDefault="005C141A" w:rsidP="005C14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Increase in knowledge in the field: of understanding and interpretation of social research on social inequalities; </w:t>
            </w:r>
          </w:p>
          <w:p w14:paraId="30E584A6" w14:textId="15E36B48" w:rsidR="005C141A" w:rsidRPr="005C141A" w:rsidRDefault="005C141A" w:rsidP="005C14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psychosocial mechanisms responsible for the formation and use of stereotypes; gender discrimination in the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</w:t>
            </w:r>
            <w:r w:rsidR="008138A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ket, politics, justice, science</w:t>
            </w: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education; </w:t>
            </w:r>
          </w:p>
          <w:p w14:paraId="701EA6CC" w14:textId="77777777" w:rsidR="005C141A" w:rsidRPr="005C141A" w:rsidRDefault="005C141A" w:rsidP="005C14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European anti-discrimination law;</w:t>
            </w:r>
          </w:p>
          <w:p w14:paraId="0F18A1EC" w14:textId="74230FA3" w:rsidR="005D0864" w:rsidRPr="00753A03" w:rsidRDefault="005C141A" w:rsidP="005C14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increased critical thinking skills and working in international groups on the design of anti-discrimination activities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8C37F0" w:rsidRPr="00753A03" w14:paraId="0EA6531A" w14:textId="77777777" w:rsidTr="00172D90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8106A99" w14:textId="77777777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STUDY AND ASSESSMENT METHODS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D8CDBA1" w14:textId="4907C4F0" w:rsidR="005C141A" w:rsidRPr="005C141A" w:rsidRDefault="008138AD" w:rsidP="008138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</w:t>
            </w:r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lements of the theoretical introduction (to outline the framework of the problem in question) conducted with the use of multimedia and student activation techniques (presentation, film, online quiz)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;</w:t>
            </w:r>
          </w:p>
          <w:p w14:paraId="3FD25E9E" w14:textId="5975F284" w:rsidR="005C141A" w:rsidRPr="005C141A" w:rsidRDefault="008138AD" w:rsidP="008138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ctivating methods - discussion, brainstorming (including anonymous surveying of opinions on a particular phenomenon, e.g., through the use of the </w:t>
            </w:r>
            <w:proofErr w:type="spellStart"/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Mentimeter</w:t>
            </w:r>
            <w:proofErr w:type="spellEnd"/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tool, creating maps of associations with the use of google </w:t>
            </w:r>
            <w:proofErr w:type="spellStart"/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Jamboard</w:t>
            </w:r>
            <w:proofErr w:type="spellEnd"/>
            <w:r w:rsidR="005C141A"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), staging, problematic, case studies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;</w:t>
            </w:r>
          </w:p>
          <w:p w14:paraId="38D641C7" w14:textId="056F2EC5" w:rsidR="005D0864" w:rsidRPr="005C141A" w:rsidRDefault="005C141A" w:rsidP="008138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analysis of identified data, trends and phenomena (co-creation of Google Forms where appropriate).</w:t>
            </w:r>
          </w:p>
        </w:tc>
      </w:tr>
      <w:tr w:rsidR="008C37F0" w:rsidRPr="005D0864" w14:paraId="6209FFCC" w14:textId="77777777" w:rsidTr="00C7030D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DCEBDD3" w14:textId="77777777" w:rsidR="005D0864" w:rsidRPr="005D0864" w:rsidRDefault="005D086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D086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BIBLIOGRAPHY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F551608" w14:textId="07FDE52B" w:rsidR="005D0864" w:rsidRPr="005D0864" w:rsidRDefault="00736CED" w:rsidP="005D0864">
            <w:p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u w:val="single"/>
                <w:lang w:val="en-US" w:eastAsia="pl-PL"/>
              </w:rPr>
              <w:t>Books</w:t>
            </w:r>
          </w:p>
          <w:p w14:paraId="446CC672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R.W. Connell. Gender: In world perspective. 2009, Polity.</w:t>
            </w:r>
          </w:p>
          <w:p w14:paraId="1C05CB93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M. Fidelis. Women, Communism, and Industrialization in Postwar Poland. 2014, Cambridge University Press.</w:t>
            </w:r>
          </w:p>
          <w:p w14:paraId="255F76CF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K.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Iwińska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X.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Bukowska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(ed.) Gender and Energy Transition. Case Studies from the Upper Silesia Coal-mining Region. 2022, Springer, Cham.</w:t>
            </w:r>
          </w:p>
          <w:p w14:paraId="5A5DA3B6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and Women’s Studies (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eds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) K. Davis. M. Evans, J.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Lorbel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2006, https://xyonline.net/sites/xyonline.net/files/2019-08/Davis%2C%20Handbook%20of%20Gender%20and%20Women%27s%20Studies%20-%20Sage%20%282006%29.pdf </w:t>
            </w:r>
          </w:p>
          <w:p w14:paraId="555E6604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E.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Korolczuk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 Explaining mass protests against abortion ban in Poland:</w:t>
            </w:r>
          </w:p>
          <w:p w14:paraId="217C8CAF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the power of connective action. 2016, Zoon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Politikon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7.</w:t>
            </w:r>
          </w:p>
          <w:p w14:paraId="422DD843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M. Kimmel. The Gendered Society, 2016, Oxford University Press.</w:t>
            </w:r>
          </w:p>
          <w:p w14:paraId="73CE4F23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sociology of gender an introduction to theory and research (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eds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) A. Wharton, https://www.pdfdrive.com/the-sociology-of-gender-an-introduction-to-theory-and research-key-themes-  </w:t>
            </w:r>
          </w:p>
          <w:p w14:paraId="555EEA04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Dahlerup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Women, Quotas, Politics, Routledge 2006.</w:t>
            </w:r>
          </w:p>
          <w:p w14:paraId="35447538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B. Friedan, The Feminine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Mistique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Penguin Books 2010.</w:t>
            </w:r>
          </w:p>
          <w:p w14:paraId="1E51B00D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S. Sandberg, Lean In: Women, Work, and the Will to Lead, Penguin Random House 2015.</w:t>
            </w:r>
          </w:p>
          <w:p w14:paraId="3EDB99DF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Manjoo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J. Jones, The Legal Protection of Women From Violence Normative Gaps in International Law, Routledge 2019</w:t>
            </w:r>
          </w:p>
          <w:p w14:paraId="1D44F564" w14:textId="78A8668E" w:rsidR="005D0864" w:rsidRDefault="005C141A" w:rsidP="005C141A">
            <w:pPr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C.C Perez, Invisible Women: Data Bias in a World Designed for Men, Vintage Publishing 2020</w:t>
            </w:r>
          </w:p>
          <w:p w14:paraId="6F735C87" w14:textId="77777777" w:rsidR="005C141A" w:rsidRPr="005D0864" w:rsidRDefault="005C141A" w:rsidP="005C141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  <w:p w14:paraId="03975982" w14:textId="697362B2" w:rsidR="005D0864" w:rsidRPr="00736CED" w:rsidRDefault="00736CED" w:rsidP="00736CED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u w:val="single"/>
                <w:lang w:val="en-US" w:eastAsia="pl-PL"/>
              </w:rPr>
              <w:t>Websites</w:t>
            </w:r>
          </w:p>
          <w:p w14:paraId="656980C4" w14:textId="68FA229B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OHCHR commissioned study on eliminating judicial stereotyping (2014) and OHCHR-Commissioned Report:</w:t>
            </w:r>
            <w:r w:rsidR="008138A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Gender Stereotyping as a </w:t>
            </w: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Human Rights Violation (2013). https://www.ohchr.org/en/treaty-bodies/cedaw/general-recommendations</w:t>
            </w:r>
          </w:p>
          <w:p w14:paraId="1B7DDCC9" w14:textId="6F9CAAA2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Equality and Justice in the Courtroom - by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Navi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Pillay, United Nations High Commissioner for Human Rights (2014). https://www.ohchr.org/en/2014/06/equality-and-justice-courtroom?LangID=E&amp;NewsID=14721</w:t>
            </w:r>
          </w:p>
          <w:p w14:paraId="468BCEFB" w14:textId="1C3E6D71" w:rsidR="005C141A" w:rsidRPr="005C141A" w:rsidRDefault="005C141A" w:rsidP="008138AD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lastRenderedPageBreak/>
              <w:t>Summary Report – Human Rights Council annual full day discussion on women’s human rights, June 2014. https://www.ohchr.org/en/node</w:t>
            </w:r>
          </w:p>
          <w:p w14:paraId="7C90435A" w14:textId="40E2CBF0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Convention on the Elimination of All Forms of Discrimination against Women, Dec 18, 1979, articles 2(f), 5 and 10(c). https://www.ohchr.org/en/instruments-mechanisms/instruments/convention-elimination-all-forms-discrimination-against-women</w:t>
            </w:r>
          </w:p>
          <w:p w14:paraId="4574E189" w14:textId="2948755F" w:rsidR="005C141A" w:rsidRPr="005C141A" w:rsidRDefault="005C141A" w:rsidP="008138AD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Convention on the Rights of People with Disabilities, Dec.13 2006, article 8(1)(b). https://www.ohchr.org/en/instruments-mechanisms/instruments/convention-rights-persons-disabilities</w:t>
            </w:r>
          </w:p>
          <w:p w14:paraId="2FFD18C4" w14:textId="2CB72185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Declaration on the Elimination of Violence against Women (1993). </w:t>
            </w:r>
          </w:p>
          <w:p w14:paraId="1BABE26F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https://www.ohchr.org/sites/default/files/Documents/ProfessionalInterest/eliminationvaw.pdf</w:t>
            </w:r>
          </w:p>
          <w:p w14:paraId="2C1A7DE3" w14:textId="793F88B9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CEDAW General Recommendations No. 19: Violence against Women (1992) and No. 24: Women and Health (1999) https://www.ohchr.org/en/treaty-bodies/cedaw/general-recommendations</w:t>
            </w:r>
          </w:p>
          <w:p w14:paraId="0F5C44D6" w14:textId="2A285E0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Human Rights Committee, General Comment No.18: Non-discrimination (1994). </w:t>
            </w:r>
          </w:p>
          <w:p w14:paraId="61C97146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http://hrlibrary.umn.edu/gencomm/hrcom18.htm</w:t>
            </w:r>
          </w:p>
          <w:p w14:paraId="080B78BA" w14:textId="23F009C4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Committee on Economic, Social and Cultural Rights, General Comment No.16: The Equal Rights of Men and Women to the Enjoyment of All Economic, Social and Cultural Rights (2005).</w:t>
            </w:r>
          </w:p>
          <w:p w14:paraId="3B23396F" w14:textId="77777777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https://tbinternet.ohchr.org/_layouts/15/treatybodyexternal/TBSearch.aspx?Lang=en&amp;TreatyID=9&amp;DocTypeID=11</w:t>
            </w:r>
          </w:p>
          <w:p w14:paraId="515F2433" w14:textId="03D97BFE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Inter-American Convention on the Prevention, Punishment, and Eradication of Violence against Women (1994). http://www.oas.org/juridico/english/treaties/a-61.html</w:t>
            </w:r>
          </w:p>
          <w:p w14:paraId="49FCA04E" w14:textId="633840AF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Council of Europe Convention on Preventing and Combating Violence against Women and Domestic. https://www.coe.int/en/web/istanbul-convention/home</w:t>
            </w:r>
          </w:p>
          <w:p w14:paraId="7B9E99C3" w14:textId="7919DAF5" w:rsidR="005C141A" w:rsidRPr="005C141A" w:rsidRDefault="005C141A" w:rsidP="005C141A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Resolution 2013/C 251 E/01 of the 13 March 2012 on equality between women and men in the European Union (2012) http://csdle.lex.unict.it/Archive/LW/EU%20social%20law/EU%20non-binding%20acts/Resolutions%20and%20opinions/20130903-054349_12_03_15_PE_Equality_women_men2011_enpdf.pdf </w:t>
            </w:r>
          </w:p>
          <w:p w14:paraId="0E7DCE58" w14:textId="79107020" w:rsidR="005C141A" w:rsidRPr="005C141A" w:rsidRDefault="005C141A" w:rsidP="008138AD">
            <w:pPr>
              <w:pStyle w:val="Akapitzlist"/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Human Rights Council, 2017 Report of the Working Group on the issue of discrimination against women in la</w:t>
            </w:r>
            <w:r w:rsidR="005E12E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 and in practice, A/HRC/35/29, </w:t>
            </w: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https://documents-dds-ny.un.org/doc/UNDOC/GEN/G17/095/46/PDF/G1709546.pdf?OpenElement  </w:t>
            </w:r>
          </w:p>
          <w:p w14:paraId="09B43961" w14:textId="40BB76E6" w:rsidR="005D0864" w:rsidRPr="005C141A" w:rsidRDefault="005C141A" w:rsidP="005C141A">
            <w:pPr>
              <w:numPr>
                <w:ilvl w:val="0"/>
                <w:numId w:val="3"/>
              </w:num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Vienna Declaration and </w:t>
            </w:r>
            <w:proofErr w:type="spellStart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5C14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of Action, 1993, </w:t>
            </w:r>
            <w:hyperlink r:id="rId8" w:history="1">
              <w:r w:rsidRPr="005E12E1">
                <w:rPr>
                  <w:rStyle w:val="Hipercze"/>
                  <w:rFonts w:ascii="PT Sans" w:eastAsia="Times New Roman" w:hAnsi="PT Sans" w:cs="Calibri"/>
                  <w:color w:val="auto"/>
                  <w:sz w:val="20"/>
                  <w:szCs w:val="20"/>
                  <w:u w:val="none"/>
                  <w:lang w:val="en-US" w:eastAsia="pl-PL"/>
                </w:rPr>
                <w:t>https://www.ohchr.org/en/instruments-mechanisms/instruments/vienna-declaration-and-programme-action</w:t>
              </w:r>
            </w:hyperlink>
          </w:p>
        </w:tc>
      </w:tr>
    </w:tbl>
    <w:p w14:paraId="1D42FCB2" w14:textId="5F0E7CC2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9"/>
      <w:footerReference w:type="default" r:id="rId10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8E83" w14:textId="77777777" w:rsidR="00547046" w:rsidRDefault="00547046" w:rsidP="005D63CD">
      <w:pPr>
        <w:spacing w:after="0" w:line="240" w:lineRule="auto"/>
      </w:pPr>
      <w:r>
        <w:separator/>
      </w:r>
    </w:p>
  </w:endnote>
  <w:endnote w:type="continuationSeparator" w:id="0">
    <w:p w14:paraId="40350562" w14:textId="77777777" w:rsidR="00547046" w:rsidRDefault="0054704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8865" w14:textId="77777777" w:rsidR="00547046" w:rsidRDefault="00547046" w:rsidP="005D63CD">
      <w:pPr>
        <w:spacing w:after="0" w:line="240" w:lineRule="auto"/>
      </w:pPr>
      <w:r>
        <w:separator/>
      </w:r>
    </w:p>
  </w:footnote>
  <w:footnote w:type="continuationSeparator" w:id="0">
    <w:p w14:paraId="4B6BBE36" w14:textId="77777777" w:rsidR="00547046" w:rsidRDefault="0054704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B81"/>
    <w:multiLevelType w:val="hybridMultilevel"/>
    <w:tmpl w:val="FCA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0EF3"/>
    <w:multiLevelType w:val="hybridMultilevel"/>
    <w:tmpl w:val="17B82E92"/>
    <w:lvl w:ilvl="0" w:tplc="4CAE3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3A57"/>
    <w:multiLevelType w:val="hybridMultilevel"/>
    <w:tmpl w:val="07802DA6"/>
    <w:lvl w:ilvl="0" w:tplc="BD68CB70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0D2D"/>
    <w:multiLevelType w:val="hybridMultilevel"/>
    <w:tmpl w:val="45DC67E4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0C6D"/>
    <w:multiLevelType w:val="hybridMultilevel"/>
    <w:tmpl w:val="868C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55154"/>
    <w:rsid w:val="00062715"/>
    <w:rsid w:val="000729DF"/>
    <w:rsid w:val="00091EA6"/>
    <w:rsid w:val="000C0053"/>
    <w:rsid w:val="000C5ABC"/>
    <w:rsid w:val="000F2C5D"/>
    <w:rsid w:val="001510D2"/>
    <w:rsid w:val="00171B8A"/>
    <w:rsid w:val="0017299B"/>
    <w:rsid w:val="00172D90"/>
    <w:rsid w:val="001902EC"/>
    <w:rsid w:val="001A54FC"/>
    <w:rsid w:val="001B1AC0"/>
    <w:rsid w:val="001C22E5"/>
    <w:rsid w:val="00200A27"/>
    <w:rsid w:val="002441EA"/>
    <w:rsid w:val="00252EE9"/>
    <w:rsid w:val="0027505E"/>
    <w:rsid w:val="0027681F"/>
    <w:rsid w:val="00287461"/>
    <w:rsid w:val="002A50F6"/>
    <w:rsid w:val="002B3B39"/>
    <w:rsid w:val="002C6F15"/>
    <w:rsid w:val="002D2F12"/>
    <w:rsid w:val="002D4679"/>
    <w:rsid w:val="002D64F0"/>
    <w:rsid w:val="00304F10"/>
    <w:rsid w:val="00305649"/>
    <w:rsid w:val="003117C4"/>
    <w:rsid w:val="00321B53"/>
    <w:rsid w:val="00332488"/>
    <w:rsid w:val="00340337"/>
    <w:rsid w:val="00350E80"/>
    <w:rsid w:val="00354EEE"/>
    <w:rsid w:val="003A095E"/>
    <w:rsid w:val="003A4630"/>
    <w:rsid w:val="003E3BDD"/>
    <w:rsid w:val="00447B8A"/>
    <w:rsid w:val="004C39A0"/>
    <w:rsid w:val="004E7ABD"/>
    <w:rsid w:val="00530CAA"/>
    <w:rsid w:val="0053663B"/>
    <w:rsid w:val="00547046"/>
    <w:rsid w:val="00557CB8"/>
    <w:rsid w:val="005A269D"/>
    <w:rsid w:val="005B34FE"/>
    <w:rsid w:val="005C141A"/>
    <w:rsid w:val="005D0864"/>
    <w:rsid w:val="005D63CD"/>
    <w:rsid w:val="005E12E1"/>
    <w:rsid w:val="005E7B56"/>
    <w:rsid w:val="00694D0D"/>
    <w:rsid w:val="006B318B"/>
    <w:rsid w:val="0070345B"/>
    <w:rsid w:val="00736CED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812BCD"/>
    <w:rsid w:val="008138AD"/>
    <w:rsid w:val="008310A7"/>
    <w:rsid w:val="008444BB"/>
    <w:rsid w:val="00845B0F"/>
    <w:rsid w:val="00886073"/>
    <w:rsid w:val="008A3A81"/>
    <w:rsid w:val="008C37F0"/>
    <w:rsid w:val="008E4986"/>
    <w:rsid w:val="00916C3A"/>
    <w:rsid w:val="009D770A"/>
    <w:rsid w:val="00A41DB5"/>
    <w:rsid w:val="00A453A2"/>
    <w:rsid w:val="00A5454F"/>
    <w:rsid w:val="00A65E97"/>
    <w:rsid w:val="00AD1DEF"/>
    <w:rsid w:val="00AE0FC0"/>
    <w:rsid w:val="00AF6E83"/>
    <w:rsid w:val="00B16EC9"/>
    <w:rsid w:val="00B53D97"/>
    <w:rsid w:val="00B73B67"/>
    <w:rsid w:val="00B81993"/>
    <w:rsid w:val="00B81E77"/>
    <w:rsid w:val="00B945EF"/>
    <w:rsid w:val="00BD546E"/>
    <w:rsid w:val="00C05D16"/>
    <w:rsid w:val="00C7030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412B"/>
    <w:rsid w:val="00E57DC0"/>
    <w:rsid w:val="00E62CDB"/>
    <w:rsid w:val="00E70679"/>
    <w:rsid w:val="00E7441E"/>
    <w:rsid w:val="00EA3288"/>
    <w:rsid w:val="00ED3B08"/>
    <w:rsid w:val="00EE380D"/>
    <w:rsid w:val="00F1351F"/>
    <w:rsid w:val="00F27492"/>
    <w:rsid w:val="00F443BF"/>
    <w:rsid w:val="00F51209"/>
    <w:rsid w:val="00F84EF3"/>
    <w:rsid w:val="00FC5687"/>
    <w:rsid w:val="00FD67C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nstruments-mechanisms/instruments/vienna-declaration-and-programme-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7919-9062-403E-B4F1-8AA9FC6E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9</cp:revision>
  <dcterms:created xsi:type="dcterms:W3CDTF">2023-11-21T12:34:00Z</dcterms:created>
  <dcterms:modified xsi:type="dcterms:W3CDTF">2023-11-21T12:56:00Z</dcterms:modified>
</cp:coreProperties>
</file>