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D1EF" w14:textId="77777777" w:rsidR="00DE462F" w:rsidRPr="00C60F91" w:rsidRDefault="00DE462F" w:rsidP="00DE462F">
      <w:pPr>
        <w:pStyle w:val="NormalWeb"/>
        <w:jc w:val="center"/>
        <w:rPr>
          <w:rFonts w:ascii="PT Sans" w:hAnsi="PT Sans" w:cs="Calibri"/>
          <w:b/>
          <w:bCs/>
          <w:sz w:val="22"/>
          <w:szCs w:val="22"/>
          <w:lang w:val="en-US"/>
        </w:rPr>
      </w:pPr>
      <w:r w:rsidRPr="00C60F91">
        <w:rPr>
          <w:rFonts w:ascii="PT Sans" w:hAnsi="PT Sans" w:cs="Calibri"/>
          <w:b/>
          <w:bCs/>
          <w:sz w:val="22"/>
          <w:szCs w:val="22"/>
          <w:lang w:val="en-US"/>
        </w:rPr>
        <w:t>COURSE SCENARIO</w:t>
      </w:r>
    </w:p>
    <w:p w14:paraId="4D3F5EEB" w14:textId="78CC9E32" w:rsidR="00B15BB7" w:rsidRPr="00C60F91" w:rsidRDefault="00DE462F" w:rsidP="00DE462F">
      <w:pPr>
        <w:pStyle w:val="NormalWeb"/>
        <w:rPr>
          <w:rFonts w:ascii="PT Sans" w:hAnsi="PT Sans" w:cs="Calibri"/>
          <w:b/>
          <w:bCs/>
          <w:sz w:val="22"/>
          <w:szCs w:val="22"/>
        </w:rPr>
      </w:pPr>
      <w:r w:rsidRPr="00C60F91">
        <w:rPr>
          <w:rFonts w:ascii="PT Sans" w:hAnsi="PT Sans" w:cs="Calibri"/>
          <w:b/>
          <w:bCs/>
          <w:sz w:val="22"/>
          <w:szCs w:val="22"/>
        </w:rPr>
        <w:t xml:space="preserve">PART 1. COURSE DESCRIPTION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E462F" w:rsidRPr="00C60F91" w14:paraId="2CDFA3E5" w14:textId="77777777" w:rsidTr="00DE462F">
        <w:tc>
          <w:tcPr>
            <w:tcW w:w="1980" w:type="dxa"/>
            <w:shd w:val="clear" w:color="auto" w:fill="E7E6E6" w:themeFill="background2"/>
          </w:tcPr>
          <w:p w14:paraId="6DBF0F6B" w14:textId="55DD8EF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SUBJECT/TOPIC </w:t>
            </w:r>
          </w:p>
        </w:tc>
        <w:tc>
          <w:tcPr>
            <w:tcW w:w="7648" w:type="dxa"/>
          </w:tcPr>
          <w:p w14:paraId="55BF745B" w14:textId="2D731D42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>UNESCO WORLD HERITAGE. A TRIP THROUGH MANKIND’S SHARED INHERITANCE</w:t>
            </w:r>
          </w:p>
        </w:tc>
      </w:tr>
      <w:tr w:rsidR="00DE462F" w:rsidRPr="00C60F91" w14:paraId="55BD9834" w14:textId="77777777" w:rsidTr="00DE462F">
        <w:tc>
          <w:tcPr>
            <w:tcW w:w="1980" w:type="dxa"/>
            <w:shd w:val="clear" w:color="auto" w:fill="E7E6E6" w:themeFill="background2"/>
          </w:tcPr>
          <w:p w14:paraId="1A9F640E" w14:textId="22A7C095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MODE (online, face-to-face, blended) </w:t>
            </w:r>
          </w:p>
        </w:tc>
        <w:tc>
          <w:tcPr>
            <w:tcW w:w="7648" w:type="dxa"/>
          </w:tcPr>
          <w:p w14:paraId="6FCE3B15" w14:textId="0686F8CF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Blended: the sessions will be face-to-face with some activities and materials that students will have to use online through a VLE platform. </w:t>
            </w:r>
          </w:p>
        </w:tc>
      </w:tr>
      <w:tr w:rsidR="00DE462F" w:rsidRPr="00C60F91" w14:paraId="5B20A4E2" w14:textId="77777777" w:rsidTr="00DE462F">
        <w:tc>
          <w:tcPr>
            <w:tcW w:w="1980" w:type="dxa"/>
            <w:shd w:val="clear" w:color="auto" w:fill="E7E6E6" w:themeFill="background2"/>
          </w:tcPr>
          <w:p w14:paraId="6584DB3B" w14:textId="790D21CE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LEVEL (master, bachelor) </w:t>
            </w:r>
          </w:p>
        </w:tc>
        <w:tc>
          <w:tcPr>
            <w:tcW w:w="7648" w:type="dxa"/>
          </w:tcPr>
          <w:p w14:paraId="34DB4631" w14:textId="7577CC8E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Permanent Education (specially designed for senior students) </w:t>
            </w:r>
          </w:p>
        </w:tc>
      </w:tr>
      <w:tr w:rsidR="00DE462F" w:rsidRPr="00C60F91" w14:paraId="459267FF" w14:textId="77777777" w:rsidTr="00DE462F">
        <w:tc>
          <w:tcPr>
            <w:tcW w:w="1980" w:type="dxa"/>
            <w:shd w:val="clear" w:color="auto" w:fill="E7E6E6" w:themeFill="background2"/>
          </w:tcPr>
          <w:p w14:paraId="0E625F33" w14:textId="27077D58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PREREQUISITES (courses to be taken before, if applicable) </w:t>
            </w:r>
          </w:p>
        </w:tc>
        <w:tc>
          <w:tcPr>
            <w:tcW w:w="7648" w:type="dxa"/>
          </w:tcPr>
          <w:p w14:paraId="6EEAECFC" w14:textId="606E1294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None </w:t>
            </w:r>
          </w:p>
        </w:tc>
      </w:tr>
      <w:tr w:rsidR="00DE462F" w:rsidRPr="00C60F91" w14:paraId="38253DDB" w14:textId="77777777" w:rsidTr="00DE462F">
        <w:tc>
          <w:tcPr>
            <w:tcW w:w="1980" w:type="dxa"/>
            <w:shd w:val="clear" w:color="auto" w:fill="E7E6E6" w:themeFill="background2"/>
          </w:tcPr>
          <w:p w14:paraId="1CAC8392" w14:textId="23FF4BAB" w:rsidR="00DE462F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SUMMARY / ANNOTATION OF THE CONTENT </w:t>
            </w:r>
          </w:p>
        </w:tc>
        <w:tc>
          <w:tcPr>
            <w:tcW w:w="7648" w:type="dxa"/>
          </w:tcPr>
          <w:p w14:paraId="6B8249C1" w14:textId="77777777" w:rsidR="00FD22C5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Through a virtual journey through the UNESCO World Heritage List, participants will explore the UNESCO HERITAGE LIST ’s origins, evolution, objectives, and results in the fight to preserve our shared heritage.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br/>
              <w:t xml:space="preserve">We will deal not only with the 1972 Convention on Cultural and Natural Heritage but also with the 2001 and 2003 Conventions on Intangible Heritage and Underwater Heritage, as heritage is a live notion constantly adapted, deconstructed, and redefined. </w:t>
            </w:r>
          </w:p>
          <w:p w14:paraId="21403B07" w14:textId="0145BD78" w:rsidR="00DE462F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Contents and activities are specially designed to enable participants to critically assess the functions and objectives of the UNESCO list and question old and modern decisions regarding Western-centred visions, the inclusion of diversity, multiculturality or pros and cons of introducing a cultural element under the protection of a heritage list. </w:t>
            </w:r>
          </w:p>
        </w:tc>
      </w:tr>
      <w:tr w:rsidR="00DE462F" w:rsidRPr="00C60F91" w14:paraId="05C816D9" w14:textId="77777777" w:rsidTr="00DE462F">
        <w:tc>
          <w:tcPr>
            <w:tcW w:w="1980" w:type="dxa"/>
            <w:shd w:val="clear" w:color="auto" w:fill="E7E6E6" w:themeFill="background2"/>
          </w:tcPr>
          <w:p w14:paraId="07C2CAE3" w14:textId="3328D762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</w:rPr>
              <w:t xml:space="preserve">THE AIMS OF THE COURSE </w:t>
            </w:r>
          </w:p>
        </w:tc>
        <w:tc>
          <w:tcPr>
            <w:tcW w:w="7648" w:type="dxa"/>
          </w:tcPr>
          <w:p w14:paraId="08E68C02" w14:textId="77777777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understand the concept of heritage and the values that preserving humankind’s heritage bring about. </w:t>
            </w:r>
          </w:p>
          <w:p w14:paraId="0F95E69F" w14:textId="77777777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understand the reasons and the historical context of the foundation of the UNESCO </w:t>
            </w:r>
          </w:p>
          <w:p w14:paraId="04BD1697" w14:textId="77777777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critically understand the 1972 Convention, especially its advances and shortcomings, from our modern perspective. </w:t>
            </w:r>
          </w:p>
          <w:p w14:paraId="65185481" w14:textId="77777777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learn the criteria employed to classify UNESCO heritage sites. </w:t>
            </w:r>
          </w:p>
          <w:p w14:paraId="3F1AF171" w14:textId="7EEA2A5C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learn the process a site or heritage element must follow to be accepted in the list. </w:t>
            </w:r>
          </w:p>
          <w:p w14:paraId="1FADDE89" w14:textId="3203802C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To compare and reflect upon the different strategies employed to be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admitted to the list. </w:t>
            </w:r>
          </w:p>
          <w:p w14:paraId="4833876E" w14:textId="7B32BBCA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learn how the heritage List is maintained and the elements listed are preserved and safeguarded. </w:t>
            </w:r>
          </w:p>
          <w:p w14:paraId="45ADD1D5" w14:textId="6D2ED36E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lastRenderedPageBreak/>
              <w:t xml:space="preserve">To understand the reasons behind the actual conservation of heritage resources. </w:t>
            </w:r>
          </w:p>
          <w:p w14:paraId="3857AA6D" w14:textId="77777777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introduce the concept of intangible heritage </w:t>
            </w:r>
          </w:p>
          <w:p w14:paraId="146FCE37" w14:textId="4B2B7299" w:rsidR="00DE462F" w:rsidRPr="00C60F91" w:rsidRDefault="00DE462F" w:rsidP="00DE462F">
            <w:pPr>
              <w:pStyle w:val="NormalWeb"/>
              <w:numPr>
                <w:ilvl w:val="0"/>
                <w:numId w:val="1"/>
              </w:numPr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introduce the concept of underwater heritage and to compare it with the other two types of heritage. </w:t>
            </w:r>
          </w:p>
          <w:p w14:paraId="56EE0F26" w14:textId="3F5A60E4" w:rsidR="00DE462F" w:rsidRPr="00C60F91" w:rsidRDefault="00DE462F" w:rsidP="00FD22C5">
            <w:pPr>
              <w:pStyle w:val="NormalWeb"/>
              <w:numPr>
                <w:ilvl w:val="0"/>
                <w:numId w:val="1"/>
              </w:numPr>
              <w:spacing w:after="0" w:afterAutospacing="0"/>
              <w:rPr>
                <w:rFonts w:ascii="PT Sans" w:hAnsi="PT Sans" w:cs="Calibri"/>
                <w:i/>
                <w:iCs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To critically evaluate the role of UNESCO in the conservation, preservation and safeguarding of heritage. </w:t>
            </w:r>
          </w:p>
        </w:tc>
      </w:tr>
      <w:tr w:rsidR="00DE462F" w:rsidRPr="00C60F91" w14:paraId="794E4E50" w14:textId="77777777" w:rsidTr="00DE462F">
        <w:tc>
          <w:tcPr>
            <w:tcW w:w="1980" w:type="dxa"/>
            <w:shd w:val="clear" w:color="auto" w:fill="E7E6E6" w:themeFill="background2"/>
          </w:tcPr>
          <w:p w14:paraId="682147D7" w14:textId="77C0A411" w:rsidR="00DE462F" w:rsidRPr="00C60F91" w:rsidRDefault="00DE462F" w:rsidP="00DE462F">
            <w:pPr>
              <w:pStyle w:val="NormalWeb"/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  <w:lastRenderedPageBreak/>
              <w:t>LEARNING OUTCOMES</w:t>
            </w:r>
          </w:p>
        </w:tc>
        <w:tc>
          <w:tcPr>
            <w:tcW w:w="7648" w:type="dxa"/>
          </w:tcPr>
          <w:p w14:paraId="223B51D7" w14:textId="77777777" w:rsidR="00DE462F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Students are able to define the concepts of heritage, intangible heritage and underwater heritage.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br/>
              <w:t xml:space="preserve">Students are able to elicit specific information about heritage resources on UNESCO website. </w:t>
            </w:r>
          </w:p>
          <w:p w14:paraId="58BF7AF9" w14:textId="77777777" w:rsidR="00DE462F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Students are able to explain the rationale behind the different UNESCO conventions, namely 1972, 2001 and 2003.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br/>
              <w:t xml:space="preserve">Students are able to classify heritage resources under UNESCO criteria. Students are able to advise on strategies for UNESCO’s selection submission process. </w:t>
            </w:r>
          </w:p>
          <w:p w14:paraId="5FCDE81B" w14:textId="260C6B31" w:rsidR="00DE462F" w:rsidRPr="00C60F91" w:rsidRDefault="00DE462F" w:rsidP="00FD22C5">
            <w:pPr>
              <w:pStyle w:val="NormalWeb"/>
              <w:spacing w:before="0" w:beforeAutospacing="0" w:after="0" w:afterAutospacing="0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Students are able to determine the limitations, constraints and controls that UNESCO imposes on listed resources.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br/>
              <w:t xml:space="preserve">Students are able to critically select a heritage resource for its preservation. </w:t>
            </w:r>
          </w:p>
        </w:tc>
      </w:tr>
      <w:tr w:rsidR="00DE462F" w:rsidRPr="00C60F91" w14:paraId="4E2E27FD" w14:textId="77777777" w:rsidTr="00DE462F">
        <w:tc>
          <w:tcPr>
            <w:tcW w:w="1980" w:type="dxa"/>
            <w:shd w:val="clear" w:color="auto" w:fill="E7E6E6" w:themeFill="background2"/>
          </w:tcPr>
          <w:p w14:paraId="4C1F5297" w14:textId="27E6F330" w:rsidR="00DE462F" w:rsidRPr="00C60F91" w:rsidRDefault="00DE462F" w:rsidP="00DE462F">
            <w:pPr>
              <w:pStyle w:val="NormalWeb"/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  <w:t>STUDY AND ASSESSMENT METHODS</w:t>
            </w:r>
          </w:p>
        </w:tc>
        <w:tc>
          <w:tcPr>
            <w:tcW w:w="7648" w:type="dxa"/>
          </w:tcPr>
          <w:p w14:paraId="68B04AB0" w14:textId="4D2F7252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Continuous Assessment based on the completion of the proposed activities and active participation. </w:t>
            </w:r>
          </w:p>
        </w:tc>
      </w:tr>
      <w:tr w:rsidR="00DE462F" w:rsidRPr="00C60F91" w14:paraId="1BD069FD" w14:textId="77777777" w:rsidTr="00DE462F">
        <w:tc>
          <w:tcPr>
            <w:tcW w:w="1980" w:type="dxa"/>
            <w:shd w:val="clear" w:color="auto" w:fill="E7E6E6" w:themeFill="background2"/>
          </w:tcPr>
          <w:p w14:paraId="35634F8A" w14:textId="1963ACE9" w:rsidR="00DE462F" w:rsidRPr="00C60F91" w:rsidRDefault="00DE462F" w:rsidP="00DE462F">
            <w:pPr>
              <w:pStyle w:val="NormalWeb"/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</w:pPr>
            <w:r w:rsidRPr="00C60F91">
              <w:rPr>
                <w:rFonts w:ascii="PT Sans" w:hAnsi="PT Sans" w:cs="Calibri"/>
                <w:b/>
                <w:bCs/>
                <w:sz w:val="22"/>
                <w:szCs w:val="22"/>
                <w:lang w:val="en-US"/>
              </w:rPr>
              <w:t>BIBLIOGRAPHY</w:t>
            </w:r>
          </w:p>
        </w:tc>
        <w:tc>
          <w:tcPr>
            <w:tcW w:w="7648" w:type="dxa"/>
          </w:tcPr>
          <w:p w14:paraId="63E6D870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Aikawa, N. (2004). An historical overview of the preparation of the UNESCO International Convention for the Safeguarding of the Intangible Cultural Heritage.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Museum international, 56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(1-2), 137-149. </w:t>
            </w:r>
          </w:p>
          <w:p w14:paraId="2A0A3281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Aznar-Gómez, M. J. (2010). Treasure hunters, sunken state vessels and the 2001 UNESCO convention on the protection of underwater cultural heritage.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The International Journal of Marine and Coastal Law, 25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(2), 209-236. </w:t>
            </w:r>
          </w:p>
          <w:p w14:paraId="64405554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Bertacchini, E., Saccone, D., &amp; Santagata, W. (2011). Embracing diversity, correcting inequalities: towards a new global governance for the UNESCO World Heritage.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International Journal of Cultural Policy, 17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(3), 278-288. </w:t>
            </w:r>
          </w:p>
          <w:p w14:paraId="131668E3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Boccardi, G. (2019). Authenticity in the heritage context: A reflection beyond the Nara document.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The Historic Environment: Policy &amp; Practice, 10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(1), 4-18. </w:t>
            </w:r>
          </w:p>
          <w:p w14:paraId="5DC2791F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Bortolotto, C. (2007). From Objects to Processes: UNESCO'S'Intangible Cultural Heritage'.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Journal of Museum Ethnography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, (19), 21-33. </w:t>
            </w:r>
          </w:p>
          <w:p w14:paraId="08AD7DFF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lastRenderedPageBreak/>
              <w:t xml:space="preserve">Brumann, C. (2014). Shifting tides of world-making in the UNESCO World Heritage Convention: Cosmopolitanisms colliding.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Ethnic and Racial Studies, 37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(12), 2176-2192. </w:t>
            </w:r>
          </w:p>
          <w:p w14:paraId="02C74A0D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Brumann, C. (2021).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The best we share: Nation, culture and world-making in the UNESCO World Heritage arena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Berghahn books. </w:t>
            </w:r>
          </w:p>
          <w:p w14:paraId="327080DB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Brumann, C., &amp; Gfeller, A. É. (2022). Cultural landscapes and the UNESCO World Heritage List: perpetuating European dominance.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International Journal of Heritage Studies, 28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(2), 147-162. </w:t>
            </w:r>
          </w:p>
          <w:p w14:paraId="210C2AE1" w14:textId="77777777" w:rsidR="00DE462F" w:rsidRPr="00C60F91" w:rsidRDefault="00DE462F" w:rsidP="00DE462F">
            <w:pPr>
              <w:pStyle w:val="NormalWeb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Cameron, C. (2015). UNESCO and cultural heritage: unexpected consequences. In W. Logan, M. N. Craith &amp; U. Kockel (Eds.),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A Companion to Heritage Studies 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(pp. 322-336). John Wiley &amp; Sons. https://doi.org/10.1002/9781118486634.ch23 </w:t>
            </w:r>
          </w:p>
          <w:p w14:paraId="0B6CDEFD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Cameron, C. (2020). The UNESCO imprimatur: creating global (in) significance.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International Journal of Heritage Studies, 26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(9), 845-856. </w:t>
            </w:r>
          </w:p>
          <w:p w14:paraId="6AB355AB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Caust, J., &amp; Vecco, M. (2017). Is UNESCO World Heritage recognition a blessing or burden? Evidence from developing Asian countries.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Journal of Cultural Heritage, 27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, 1-9. </w:t>
            </w:r>
          </w:p>
          <w:p w14:paraId="7CEA5F14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Craith, M. N. (2008). Intangible cultural heritages: The challenge for Europe.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Anthropological Journal of European Cultures, 17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(1), 54-73. </w:t>
            </w:r>
          </w:p>
          <w:p w14:paraId="464E79ED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De la Torre, M. (2002).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Assessing the Values of Cultural Heritage: Research Report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The Getty Conservation Institute. Retrieved from </w:t>
            </w:r>
            <w:r w:rsidRPr="00C60F91">
              <w:rPr>
                <w:rFonts w:ascii="PT Sans" w:hAnsi="PT Sans" w:cs="Calibri"/>
                <w:color w:val="0000FF"/>
                <w:sz w:val="22"/>
                <w:szCs w:val="22"/>
              </w:rPr>
              <w:t xml:space="preserve">https://www.getty.edu/conservation/publications_resources/pdf_publi cations/values_cultural_heritage.html </w:t>
            </w:r>
          </w:p>
          <w:p w14:paraId="4BA85615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De la Torre, M. (2013). Values and heritage conservation. Heritage &amp; Society, 6(2), 155-166. </w:t>
            </w:r>
          </w:p>
          <w:p w14:paraId="13FB4D6E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>Gfeller, A. E. (2013). Negotiating the meaning of global heritage:‘cultural landscapes’ in the UNESCO World Heritage Convention, 1972–</w:t>
            </w:r>
            <w:r w:rsidRPr="00C60F91">
              <w:rPr>
                <w:rFonts w:ascii="PT Sans" w:hAnsi="PT Sans" w:cs="Calibri"/>
                <w:sz w:val="22"/>
                <w:szCs w:val="22"/>
              </w:rPr>
              <w:br/>
              <w:t xml:space="preserve">92.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Journal of Global History, 8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(3), 483-503. </w:t>
            </w:r>
          </w:p>
          <w:p w14:paraId="2AD63AB9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lastRenderedPageBreak/>
              <w:t xml:space="preserve">Gfeller, A. E. (2015). Anthropologizing and indigenizing heritage: The origins of the UNESCO Global Strategy for a representative, balanced and credible World Heritage List.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Journal of Social Archaeology, 15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(3), 366-386. </w:t>
            </w:r>
          </w:p>
          <w:p w14:paraId="779782CD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González, A. W., O'Keefe, P., &amp; Williams, M. (2009). The UNESCO convention on the protection of the underwater cultural heritage: a future for our past?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Conservation and management of archaeological sites, 11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(1), 54- 69. </w:t>
            </w:r>
          </w:p>
          <w:p w14:paraId="0A81EA23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>Hafner, A., O</w:t>
            </w:r>
            <w:r w:rsidRPr="00C60F91">
              <w:rPr>
                <w:rFonts w:ascii="Arial" w:hAnsi="Arial" w:cs="Arial"/>
                <w:sz w:val="22"/>
                <w:szCs w:val="22"/>
              </w:rPr>
              <w:t>̈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niz, H., Semaan, L., &amp; Underwood, C. (2022).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Heritage Under Water at Risk: Threats, Challenges and Solutions. 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ICOMOS. Retrived from https://openarchive.icomos.org/id/eprint/2488/1/heritage%20at%20ris k%20HQ%20NV.pdf </w:t>
            </w:r>
          </w:p>
          <w:p w14:paraId="34FFF757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Hladik, J. (2004). The UNESCO Declaration Concerning the Intentional Destruction of Cultural Heritage.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Art Antiquity &amp; L., 9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, 215. </w:t>
            </w:r>
          </w:p>
          <w:p w14:paraId="5AC0880A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Keitumetse, S. (2006). UNESCO 2003 convention on intangible heritage: Practical implications for heritage management approaches in Africa.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South African Archaeological Bulletin, 61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(184), 166-171. </w:t>
            </w:r>
          </w:p>
          <w:p w14:paraId="272FD3C2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Kurin, R. (2004). Safeguarding Intangible Cultural Heritage in the 2003 UNESCO Convention: a critical appraisal.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Museum international, 56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(1- 2), 66-77. </w:t>
            </w:r>
          </w:p>
          <w:p w14:paraId="70DB7112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Labadi, S. (2013).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UNESCO, cultural heritage, and outstanding universal value: Value-based analyses of the World Heritage and Intangible Cultural Heritage Conventions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Altamira. </w:t>
            </w:r>
          </w:p>
          <w:p w14:paraId="2D8DB733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Lazaro Ortiz, S., &amp; Jimenez de Madariaga, C. (2022). The UNESCO convention for the safeguarding of the intangible cultural heritage: a critical analysis.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International Journal of Cultural Policy, 28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(3), 327-341. </w:t>
            </w:r>
          </w:p>
          <w:p w14:paraId="24B73447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Lenzerini, F. (2011). Intangible cultural heritage: The living culture of peoples. European Journal of International Law, 22(1), 101-120. </w:t>
            </w:r>
          </w:p>
          <w:p w14:paraId="235D42B0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>Meskell, L. (2015). Transacting UNESCO World Heritage: gifts and exchanges on a global stage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. Social Anthropology/Anthropologie Sociale, 23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(1), 3- 21. </w:t>
            </w:r>
          </w:p>
          <w:p w14:paraId="4BD42AEF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Nas, P. M. (2002). Masterpieces of oral and intangible culture: Reflections on the UNESCO World Heritage List.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Current Anthropology, 43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(1), 139-148. </w:t>
            </w:r>
          </w:p>
          <w:p w14:paraId="257FFA3A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lastRenderedPageBreak/>
              <w:t xml:space="preserve">UNESCO (2007).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The UNESCO convention on the protection of the underwater cultural heritage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UNESCO, Section of museums and cultural objects, Division of cultural objects and intangible heritage. </w:t>
            </w:r>
            <w:r w:rsidRPr="00C60F91">
              <w:rPr>
                <w:rFonts w:ascii="PT Sans" w:hAnsi="PT Sans" w:cs="Calibri"/>
                <w:color w:val="0000FF"/>
                <w:sz w:val="22"/>
                <w:szCs w:val="22"/>
              </w:rPr>
              <w:t xml:space="preserve">https://unesdoc.unesco.org/ark:/48223/pf0000152883 </w:t>
            </w:r>
          </w:p>
          <w:p w14:paraId="39AF5006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UNESCO (2008).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World heritage information kit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World Heritage Centre, Paris. Retrieved from </w:t>
            </w:r>
            <w:r w:rsidRPr="00C60F91">
              <w:rPr>
                <w:rFonts w:ascii="PT Sans" w:hAnsi="PT Sans" w:cs="Calibri"/>
                <w:color w:val="0000FF"/>
                <w:sz w:val="22"/>
                <w:szCs w:val="22"/>
              </w:rPr>
              <w:t xml:space="preserve">https://whc.unesco.org/en/activities/567/ </w:t>
            </w:r>
          </w:p>
          <w:p w14:paraId="159DBE90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UNESCO (2011).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 xml:space="preserve">What Is Intangible Cultural Heritage. 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UNESCO </w:t>
            </w:r>
          </w:p>
          <w:p w14:paraId="5FA45F9F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UNESCO (2020).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Basic texts of the 2003 convention for the safeguarding of the intangible cultural heritage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Retrieved from </w:t>
            </w:r>
            <w:r w:rsidRPr="00C60F91">
              <w:rPr>
                <w:rFonts w:ascii="PT Sans" w:hAnsi="PT Sans" w:cs="Calibri"/>
                <w:color w:val="0000FF"/>
                <w:sz w:val="22"/>
                <w:szCs w:val="22"/>
              </w:rPr>
              <w:t xml:space="preserve">https://ich.unesco.org/doc/src/2003_Convention_Basic_Texts- _2022_version-EN_.pdf </w:t>
            </w:r>
          </w:p>
          <w:p w14:paraId="3FF53147" w14:textId="77777777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VanBlarcom, B. L., &amp; Kayahan, C. (2011). Assessing the economic impact of a UNESCO World Heritage designation.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Journal of Heritage Tourism, 6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(2), 143-164. </w:t>
            </w:r>
          </w:p>
          <w:p w14:paraId="3DEF2E4F" w14:textId="0AF7FA9D" w:rsidR="00DE462F" w:rsidRPr="00C60F91" w:rsidRDefault="00DE462F" w:rsidP="00DE462F">
            <w:pPr>
              <w:pStyle w:val="NormalWeb"/>
              <w:shd w:val="clear" w:color="auto" w:fill="FFFFFF"/>
              <w:rPr>
                <w:rFonts w:ascii="PT Sans" w:hAnsi="PT Sans"/>
                <w:sz w:val="22"/>
                <w:szCs w:val="22"/>
              </w:rPr>
            </w:pPr>
            <w:r w:rsidRPr="00C60F91">
              <w:rPr>
                <w:rFonts w:ascii="PT Sans" w:hAnsi="PT Sans" w:cs="Calibri"/>
                <w:sz w:val="22"/>
                <w:szCs w:val="22"/>
              </w:rPr>
              <w:t xml:space="preserve">World Heritage Centre. (2005). </w:t>
            </w:r>
            <w:r w:rsidRPr="00C60F91">
              <w:rPr>
                <w:rFonts w:ascii="PT Sans" w:hAnsi="PT Sans" w:cs="Calibri"/>
                <w:i/>
                <w:iCs/>
                <w:sz w:val="22"/>
                <w:szCs w:val="22"/>
              </w:rPr>
              <w:t>Basic texts of the 1972 world heritage convention</w:t>
            </w:r>
            <w:r w:rsidRPr="00C60F91">
              <w:rPr>
                <w:rFonts w:ascii="PT Sans" w:hAnsi="PT Sans" w:cs="Calibri"/>
                <w:sz w:val="22"/>
                <w:szCs w:val="22"/>
              </w:rPr>
              <w:t xml:space="preserve">. UNESCO. Retrieved from </w:t>
            </w:r>
            <w:r w:rsidRPr="00C60F91">
              <w:rPr>
                <w:rFonts w:ascii="PT Sans" w:hAnsi="PT Sans" w:cs="Calibri"/>
                <w:color w:val="0000FF"/>
                <w:sz w:val="22"/>
                <w:szCs w:val="22"/>
              </w:rPr>
              <w:t xml:space="preserve">https://whc.unesco.org/en/basictexts/ </w:t>
            </w:r>
          </w:p>
        </w:tc>
      </w:tr>
    </w:tbl>
    <w:p w14:paraId="52215F72" w14:textId="77777777" w:rsidR="00DE462F" w:rsidRPr="00C60F91" w:rsidRDefault="00DE462F" w:rsidP="00DE462F">
      <w:pPr>
        <w:pStyle w:val="NormalWeb"/>
        <w:rPr>
          <w:rFonts w:ascii="PT Sans" w:hAnsi="PT Sans"/>
          <w:sz w:val="22"/>
          <w:szCs w:val="22"/>
        </w:rPr>
      </w:pPr>
    </w:p>
    <w:p w14:paraId="1329442D" w14:textId="77777777" w:rsidR="00B15BB7" w:rsidRPr="00C60F91" w:rsidRDefault="00B15BB7" w:rsidP="00484182"/>
    <w:p w14:paraId="593FF05E" w14:textId="77777777" w:rsidR="00484182" w:rsidRPr="00C60F91" w:rsidRDefault="00484182" w:rsidP="00484182"/>
    <w:p w14:paraId="04F53A71" w14:textId="77777777" w:rsidR="00484182" w:rsidRPr="00C60F91" w:rsidRDefault="00484182" w:rsidP="00484182"/>
    <w:p w14:paraId="4ECFB0EE" w14:textId="77777777" w:rsidR="00484182" w:rsidRPr="00C60F91" w:rsidRDefault="00484182" w:rsidP="00484182"/>
    <w:p w14:paraId="10C376ED" w14:textId="77777777" w:rsidR="00484182" w:rsidRPr="00C60F91" w:rsidRDefault="00484182" w:rsidP="00484182"/>
    <w:p w14:paraId="35B61B1E" w14:textId="77777777" w:rsidR="00484182" w:rsidRPr="00C60F91" w:rsidRDefault="00484182" w:rsidP="00484182"/>
    <w:p w14:paraId="263B3082" w14:textId="77777777" w:rsidR="00484182" w:rsidRPr="00C60F91" w:rsidRDefault="00484182" w:rsidP="00484182"/>
    <w:p w14:paraId="47C0A033" w14:textId="77777777" w:rsidR="00484182" w:rsidRPr="00C60F91" w:rsidRDefault="00484182" w:rsidP="00484182"/>
    <w:p w14:paraId="43CEAE7A" w14:textId="77777777" w:rsidR="00484182" w:rsidRPr="00C60F91" w:rsidRDefault="00484182" w:rsidP="00484182"/>
    <w:sectPr w:rsidR="00484182" w:rsidRPr="00C60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C6698" w14:textId="77777777" w:rsidR="00AA28E0" w:rsidRDefault="00AA28E0" w:rsidP="00484182">
      <w:r>
        <w:separator/>
      </w:r>
    </w:p>
  </w:endnote>
  <w:endnote w:type="continuationSeparator" w:id="0">
    <w:p w14:paraId="5A2901AB" w14:textId="77777777" w:rsidR="00AA28E0" w:rsidRDefault="00AA28E0" w:rsidP="004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5264" w14:textId="77777777" w:rsidR="00484182" w:rsidRDefault="0048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B63C" w14:textId="77777777" w:rsidR="00484182" w:rsidRDefault="00484182" w:rsidP="00484182">
    <w:pPr>
      <w:rPr>
        <w:color w:val="002D59"/>
        <w:sz w:val="16"/>
        <w:szCs w:val="16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61312" behindDoc="1" locked="0" layoutInCell="1" hidden="0" allowOverlap="1" wp14:anchorId="2C0C8F5B" wp14:editId="78E450F3">
          <wp:simplePos x="0" y="0"/>
          <wp:positionH relativeFrom="column">
            <wp:posOffset>-739343</wp:posOffset>
          </wp:positionH>
          <wp:positionV relativeFrom="paragraph">
            <wp:posOffset>0</wp:posOffset>
          </wp:positionV>
          <wp:extent cx="3259455" cy="106680"/>
          <wp:effectExtent l="0" t="0" r="4445" b="0"/>
          <wp:wrapNone/>
          <wp:docPr id="9" name="image4.png" descr="A white background with black dot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A white background with black dots&#10;&#10;Description automatically generated"/>
                  <pic:cNvPicPr preferRelativeResize="0"/>
                </pic:nvPicPr>
                <pic:blipFill>
                  <a:blip r:embed="rId1"/>
                  <a:srcRect l="30" t="87030" r="56667" b="11964"/>
                  <a:stretch>
                    <a:fillRect/>
                  </a:stretch>
                </pic:blipFill>
                <pic:spPr>
                  <a:xfrm>
                    <a:off x="0" y="0"/>
                    <a:ext cx="3259455" cy="106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78D498" w14:textId="77777777" w:rsidR="00B15BB7" w:rsidRDefault="00000000" w:rsidP="00484182">
    <w:pPr>
      <w:pStyle w:val="NoSpacing"/>
      <w:rPr>
        <w:vertAlign w:val="subscript"/>
      </w:rPr>
    </w:pPr>
    <w:proofErr w:type="spellStart"/>
    <w:r>
      <w:t>Universidad</w:t>
    </w:r>
    <w:proofErr w:type="spellEnd"/>
    <w:r>
      <w:t xml:space="preserve"> de Alicante</w:t>
    </w:r>
    <w:r>
      <w:rPr>
        <w:noProof/>
      </w:rPr>
      <w:drawing>
        <wp:anchor distT="0" distB="0" distL="0" distR="0" simplePos="0" relativeHeight="251659264" behindDoc="1" locked="0" layoutInCell="1" hidden="0" allowOverlap="1" wp14:anchorId="6A0271A3" wp14:editId="7ACE61B0">
          <wp:simplePos x="0" y="0"/>
          <wp:positionH relativeFrom="column">
            <wp:posOffset>3019425</wp:posOffset>
          </wp:positionH>
          <wp:positionV relativeFrom="paragraph">
            <wp:posOffset>7094</wp:posOffset>
          </wp:positionV>
          <wp:extent cx="3581400" cy="827387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t="12666" b="27599"/>
                  <a:stretch>
                    <a:fillRect/>
                  </a:stretch>
                </pic:blipFill>
                <pic:spPr>
                  <a:xfrm>
                    <a:off x="0" y="0"/>
                    <a:ext cx="3581400" cy="827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8098EC" w14:textId="77777777" w:rsidR="00B15BB7" w:rsidRDefault="00000000" w:rsidP="00484182">
    <w:pPr>
      <w:pStyle w:val="NoSpacing"/>
    </w:pPr>
    <w:proofErr w:type="spellStart"/>
    <w:r>
      <w:t>Carretera</w:t>
    </w:r>
    <w:proofErr w:type="spellEnd"/>
    <w:r>
      <w:t xml:space="preserve"> San </w:t>
    </w:r>
    <w:proofErr w:type="spellStart"/>
    <w:r>
      <w:t>Vicente</w:t>
    </w:r>
    <w:proofErr w:type="spellEnd"/>
    <w:r>
      <w:t xml:space="preserve"> del </w:t>
    </w:r>
    <w:proofErr w:type="spellStart"/>
    <w:r>
      <w:t>Raspeig</w:t>
    </w:r>
    <w:proofErr w:type="spellEnd"/>
    <w:r>
      <w:t xml:space="preserve"> s/n</w:t>
    </w:r>
  </w:p>
  <w:p w14:paraId="44775712" w14:textId="77777777" w:rsidR="00B15BB7" w:rsidRDefault="00000000" w:rsidP="00484182">
    <w:pPr>
      <w:pStyle w:val="NoSpacing"/>
    </w:pPr>
    <w:r>
      <w:t xml:space="preserve">03690 San </w:t>
    </w:r>
    <w:proofErr w:type="spellStart"/>
    <w:r>
      <w:t>Vicente</w:t>
    </w:r>
    <w:proofErr w:type="spellEnd"/>
    <w:r>
      <w:t xml:space="preserve"> del </w:t>
    </w:r>
    <w:proofErr w:type="spellStart"/>
    <w:r>
      <w:t>Raspeig</w:t>
    </w:r>
    <w:proofErr w:type="spellEnd"/>
  </w:p>
  <w:p w14:paraId="3154365D" w14:textId="77777777" w:rsidR="00B15BB7" w:rsidRDefault="00000000" w:rsidP="00484182">
    <w:pPr>
      <w:pStyle w:val="NoSpacing"/>
    </w:pPr>
    <w:r>
      <w:t>Alicante (</w:t>
    </w:r>
    <w:proofErr w:type="spellStart"/>
    <w:r>
      <w:t>Spain</w:t>
    </w:r>
    <w:proofErr w:type="spellEnd"/>
    <w:r>
      <w:t>)</w:t>
    </w:r>
  </w:p>
  <w:p w14:paraId="06B66C0C" w14:textId="77777777" w:rsidR="00B15BB7" w:rsidRDefault="00000000" w:rsidP="00484182">
    <w:pPr>
      <w:pStyle w:val="NoSpacing"/>
      <w:rPr>
        <w:u w:val="single"/>
      </w:rPr>
    </w:pPr>
    <w:r>
      <w:t xml:space="preserve">e-mail: project.management@ua.es </w:t>
    </w:r>
  </w:p>
  <w:p w14:paraId="1F5BCF2B" w14:textId="77777777" w:rsidR="00B15BB7" w:rsidRDefault="00000000" w:rsidP="00484182">
    <w:pPr>
      <w:pStyle w:val="NoSpacing"/>
    </w:pPr>
    <w:r>
      <w:t>www.</w:t>
    </w:r>
    <w:r>
      <w:rPr>
        <w:b/>
      </w:rPr>
      <w:t>ua.</w:t>
    </w:r>
    <w:r>
      <w:t>es</w:t>
    </w:r>
  </w:p>
  <w:p w14:paraId="2027710D" w14:textId="77777777" w:rsidR="00B15BB7" w:rsidRDefault="00B15BB7" w:rsidP="004841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6FFC" w14:textId="77777777" w:rsidR="00484182" w:rsidRDefault="0048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90D6" w14:textId="77777777" w:rsidR="00AA28E0" w:rsidRDefault="00AA28E0" w:rsidP="00484182">
      <w:r>
        <w:separator/>
      </w:r>
    </w:p>
  </w:footnote>
  <w:footnote w:type="continuationSeparator" w:id="0">
    <w:p w14:paraId="37C7C36A" w14:textId="77777777" w:rsidR="00AA28E0" w:rsidRDefault="00AA28E0" w:rsidP="0048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8311" w14:textId="77777777" w:rsidR="00484182" w:rsidRDefault="0048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88F1" w14:textId="77777777" w:rsidR="00B15BB7" w:rsidRDefault="00000000" w:rsidP="00484182">
    <w:r>
      <w:rPr>
        <w:noProof/>
      </w:rPr>
      <w:drawing>
        <wp:inline distT="0" distB="0" distL="0" distR="0" wp14:anchorId="523E0E00" wp14:editId="31ABEE91">
          <wp:extent cx="1334511" cy="1147431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2BEBFEFA" wp14:editId="17A18F8B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A290B1" w14:textId="77777777" w:rsidR="00B15BB7" w:rsidRDefault="00B15BB7" w:rsidP="004841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EB18" w14:textId="77777777" w:rsidR="00484182" w:rsidRDefault="0048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50F"/>
    <w:multiLevelType w:val="multilevel"/>
    <w:tmpl w:val="3800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98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2F"/>
    <w:rsid w:val="00484182"/>
    <w:rsid w:val="007551A7"/>
    <w:rsid w:val="00925C79"/>
    <w:rsid w:val="00AA28E0"/>
    <w:rsid w:val="00B15BB7"/>
    <w:rsid w:val="00C60F91"/>
    <w:rsid w:val="00DE462F"/>
    <w:rsid w:val="00F54733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6429F7"/>
  <w15:docId w15:val="{B1CD5B83-E913-E242-A121-420C3812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Palatino Linotype" w:hAnsi="Palatino Linotype" w:cs="Palatino Linotype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182"/>
    <w:pPr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</w:pPr>
    <w:rPr>
      <w:rFonts w:ascii="PT Sans" w:eastAsia="PT Sans" w:hAnsi="PT Sans" w:cs="PT Sans"/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CD"/>
  </w:style>
  <w:style w:type="paragraph" w:styleId="Footer">
    <w:name w:val="footer"/>
    <w:basedOn w:val="Normal"/>
    <w:link w:val="FooterChar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CD"/>
  </w:style>
  <w:style w:type="character" w:styleId="Hyperlink">
    <w:name w:val="Hyperlink"/>
    <w:basedOn w:val="DefaultParagraphFont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basedOn w:val="Normal"/>
    <w:uiPriority w:val="1"/>
    <w:qFormat/>
    <w:rsid w:val="00484182"/>
    <w:pPr>
      <w:tabs>
        <w:tab w:val="center" w:pos="4536"/>
        <w:tab w:val="right" w:pos="9072"/>
      </w:tabs>
      <w:spacing w:line="200" w:lineRule="auto"/>
    </w:pPr>
    <w:rPr>
      <w:color w:val="002D59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46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FR" w:eastAsia="ja-JP"/>
    </w:rPr>
  </w:style>
  <w:style w:type="table" w:styleId="TableGrid">
    <w:name w:val="Table Grid"/>
    <w:basedOn w:val="TableNormal"/>
    <w:uiPriority w:val="39"/>
    <w:rsid w:val="00DE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6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25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1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9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8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0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tilderubio/Desktop/IP%20Helpdesks/CROCODILE/SPAIN-LETTERHEAD%20TEMPLAT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bB23A53vMRYcL/TOnXOey6ai3Q==">CgMxLjAyCGguZ2pkZ3hzOAByITFSZzRXSlF4b0FfTldweWRGbTFidmxrMHZBMHJHcGprVA==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SPAIN-LETTERHEAD TEMPLATE.dotx</Template>
  <TotalTime>0</TotalTime>
  <Pages>5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matilde rubio</cp:lastModifiedBy>
  <cp:revision>2</cp:revision>
  <dcterms:created xsi:type="dcterms:W3CDTF">2023-10-06T12:43:00Z</dcterms:created>
  <dcterms:modified xsi:type="dcterms:W3CDTF">2023-10-06T12:43:00Z</dcterms:modified>
</cp:coreProperties>
</file>