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529D" w14:textId="77777777" w:rsidR="00033F89" w:rsidRDefault="00033F89" w:rsidP="00033F89">
      <w:pPr>
        <w:spacing w:after="200" w:line="276" w:lineRule="auto"/>
        <w:jc w:val="center"/>
        <w:rPr>
          <w:rFonts w:ascii="Corbel" w:eastAsia="Times New Roman" w:hAnsi="Corbel" w:cs="Calibri"/>
          <w:b/>
          <w:lang w:val="en-US" w:eastAsia="pl-PL"/>
        </w:rPr>
      </w:pPr>
      <w:r w:rsidRPr="00033F89">
        <w:rPr>
          <w:rFonts w:ascii="Corbel" w:eastAsia="Times New Roman" w:hAnsi="Corbel" w:cs="Calibri"/>
          <w:b/>
          <w:lang w:val="en-US" w:eastAsia="pl-PL"/>
        </w:rPr>
        <w:t xml:space="preserve">COURSE SCENARIO </w:t>
      </w:r>
    </w:p>
    <w:p w14:paraId="7762CE31" w14:textId="0555D2E7" w:rsidR="005260BB" w:rsidRPr="00033F89" w:rsidRDefault="005260BB" w:rsidP="005260BB">
      <w:pPr>
        <w:spacing w:after="200" w:line="276" w:lineRule="auto"/>
        <w:jc w:val="center"/>
        <w:rPr>
          <w:rFonts w:ascii="Corbel" w:eastAsia="Times New Roman" w:hAnsi="Corbel" w:cs="Calibri"/>
          <w:b/>
          <w:i/>
          <w:lang w:val="en-US" w:eastAsia="pl-PL"/>
        </w:rPr>
      </w:pPr>
      <w:r w:rsidRPr="005260BB">
        <w:rPr>
          <w:rFonts w:ascii="Corbel" w:eastAsia="Times New Roman" w:hAnsi="Corbel" w:cs="Calibri"/>
          <w:b/>
          <w:i/>
          <w:lang w:val="en-US" w:eastAsia="pl-PL"/>
        </w:rPr>
        <w:t>Environmental Transformation: Nature in the city or City in nature</w:t>
      </w:r>
    </w:p>
    <w:p w14:paraId="46DC08A2"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PART 1. COURSE DESCRIPTION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225"/>
      </w:tblGrid>
      <w:tr w:rsidR="00033F89" w:rsidRPr="00033F89" w14:paraId="06330EF0" w14:textId="77777777" w:rsidTr="00116713">
        <w:tc>
          <w:tcPr>
            <w:tcW w:w="1837" w:type="dxa"/>
            <w:shd w:val="clear" w:color="auto" w:fill="D9D9D9"/>
          </w:tcPr>
          <w:p w14:paraId="02440027"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SUBJECT/TOPIC</w:t>
            </w:r>
          </w:p>
        </w:tc>
        <w:tc>
          <w:tcPr>
            <w:tcW w:w="7225" w:type="dxa"/>
          </w:tcPr>
          <w:p w14:paraId="05C68EB8"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Environmental Transformation: Nature in the city or City in nature</w:t>
            </w:r>
          </w:p>
          <w:p w14:paraId="2D5DE551"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w:t>
            </w:r>
          </w:p>
        </w:tc>
      </w:tr>
      <w:tr w:rsidR="00033F89" w:rsidRPr="00033F89" w14:paraId="1E22916C" w14:textId="77777777" w:rsidTr="00116713">
        <w:tc>
          <w:tcPr>
            <w:tcW w:w="1837" w:type="dxa"/>
            <w:shd w:val="clear" w:color="auto" w:fill="D9D9D9"/>
          </w:tcPr>
          <w:p w14:paraId="6FD0D275"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MODE (online, face-to-face, blended)</w:t>
            </w:r>
          </w:p>
        </w:tc>
        <w:tc>
          <w:tcPr>
            <w:tcW w:w="7225" w:type="dxa"/>
          </w:tcPr>
          <w:p w14:paraId="3926BCB7"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The course can be delivered in all forms, as the content is flexible and allows attendance, online and blended form of interaction.</w:t>
            </w:r>
          </w:p>
        </w:tc>
      </w:tr>
      <w:tr w:rsidR="00033F89" w:rsidRPr="00033F89" w14:paraId="392C64C5" w14:textId="77777777" w:rsidTr="00116713">
        <w:tc>
          <w:tcPr>
            <w:tcW w:w="1837" w:type="dxa"/>
            <w:shd w:val="clear" w:color="auto" w:fill="D9D9D9"/>
          </w:tcPr>
          <w:p w14:paraId="2F31A704"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LEVEL (master, bachelor)</w:t>
            </w:r>
          </w:p>
        </w:tc>
        <w:tc>
          <w:tcPr>
            <w:tcW w:w="7225" w:type="dxa"/>
          </w:tcPr>
          <w:p w14:paraId="1EE10292" w14:textId="77777777" w:rsidR="00033F89" w:rsidRPr="00033F89" w:rsidRDefault="00033F89" w:rsidP="00033F89">
            <w:pPr>
              <w:spacing w:after="200" w:line="276" w:lineRule="auto"/>
              <w:rPr>
                <w:rFonts w:ascii="Corbel" w:eastAsia="Times New Roman" w:hAnsi="Corbel" w:cs="Calibri"/>
                <w:i/>
                <w:highlight w:val="magenta"/>
                <w:lang w:val="en-US" w:eastAsia="pl-PL"/>
              </w:rPr>
            </w:pPr>
            <w:r w:rsidRPr="00033F89">
              <w:rPr>
                <w:rFonts w:ascii="Corbel" w:eastAsia="Times New Roman" w:hAnsi="Corbel" w:cs="Calibri"/>
                <w:i/>
                <w:lang w:val="en-US" w:eastAsia="pl-PL"/>
              </w:rPr>
              <w:t>Bachelor and master</w:t>
            </w:r>
          </w:p>
        </w:tc>
      </w:tr>
      <w:tr w:rsidR="00033F89" w:rsidRPr="00033F89" w14:paraId="4BB6F08D" w14:textId="77777777" w:rsidTr="00116713">
        <w:tc>
          <w:tcPr>
            <w:tcW w:w="1837" w:type="dxa"/>
            <w:shd w:val="clear" w:color="auto" w:fill="D9D9D9"/>
          </w:tcPr>
          <w:p w14:paraId="7722A936"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PREREQUISITES (courses to be taken before, if applicable)</w:t>
            </w:r>
          </w:p>
        </w:tc>
        <w:tc>
          <w:tcPr>
            <w:tcW w:w="7225" w:type="dxa"/>
          </w:tcPr>
          <w:p w14:paraId="07C2800C"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The idea for this course is to be interdisciplinary and allow interested students to enroll, thus it provides fundamental knowledge and there are no prerequisites</w:t>
            </w:r>
          </w:p>
        </w:tc>
      </w:tr>
      <w:tr w:rsidR="00033F89" w:rsidRPr="00033F89" w14:paraId="3F3EA722" w14:textId="77777777" w:rsidTr="00116713">
        <w:tc>
          <w:tcPr>
            <w:tcW w:w="1837" w:type="dxa"/>
            <w:shd w:val="clear" w:color="auto" w:fill="D9D9D9"/>
          </w:tcPr>
          <w:p w14:paraId="443720CC"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SUMMARY / ANNOTATION OF THE CONTENT</w:t>
            </w:r>
          </w:p>
        </w:tc>
        <w:tc>
          <w:tcPr>
            <w:tcW w:w="7225" w:type="dxa"/>
          </w:tcPr>
          <w:p w14:paraId="11F20835"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 xml:space="preserve">The urban environment is often seen as the antithesis of environmental initiatives. The focus of this course is on the potential of the urban environment with the participation of every community member. The modern everyday life of technological continuous boom, global crises and uncertainties, climate change and the need for a conscious use of resources pose increasing challenges to keeping the individual balance and well-being. This leads to a rethinking of the concept, not only towards a search for the dimensions of sustainable management and environmental protection, but to a certain shift in attitudes towards considering the relationship with nature. The concept of urban life and addressing the relationship with nature is part of environmental education. The course describes the possibilities of building an ecological perspective on individual and community level by re-creating and rethinking the opportunities also provided by the urban environment.  </w:t>
            </w:r>
          </w:p>
          <w:p w14:paraId="0D31816B" w14:textId="77777777" w:rsidR="00033F89" w:rsidRPr="00033F89" w:rsidRDefault="00033F89" w:rsidP="00033F89">
            <w:pPr>
              <w:spacing w:after="200" w:line="276" w:lineRule="auto"/>
              <w:rPr>
                <w:rFonts w:ascii="Corbel" w:eastAsia="Times New Roman" w:hAnsi="Corbel" w:cs="Calibri"/>
                <w:i/>
                <w:lang w:val="en-US" w:eastAsia="pl-PL"/>
              </w:rPr>
            </w:pPr>
          </w:p>
        </w:tc>
      </w:tr>
      <w:tr w:rsidR="00033F89" w:rsidRPr="00033F89" w14:paraId="3FEB5F2F" w14:textId="77777777" w:rsidTr="00116713">
        <w:tc>
          <w:tcPr>
            <w:tcW w:w="1837" w:type="dxa"/>
            <w:shd w:val="clear" w:color="auto" w:fill="D9D9D9"/>
          </w:tcPr>
          <w:p w14:paraId="619EA535"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lastRenderedPageBreak/>
              <w:t>THE AIMS OF THE COURSE</w:t>
            </w:r>
          </w:p>
          <w:p w14:paraId="1E34C4A3" w14:textId="77777777" w:rsidR="00033F89" w:rsidRPr="00033F89" w:rsidRDefault="00033F89" w:rsidP="00033F89">
            <w:pPr>
              <w:spacing w:after="200" w:line="276" w:lineRule="auto"/>
              <w:rPr>
                <w:rFonts w:ascii="Corbel" w:eastAsia="Times New Roman" w:hAnsi="Corbel" w:cs="Calibri"/>
                <w:b/>
                <w:lang w:val="en-US" w:eastAsia="pl-PL"/>
              </w:rPr>
            </w:pPr>
          </w:p>
          <w:p w14:paraId="696867A5" w14:textId="77777777" w:rsidR="00033F89" w:rsidRPr="00033F89" w:rsidRDefault="00033F89" w:rsidP="00033F89">
            <w:pPr>
              <w:spacing w:after="200" w:line="276" w:lineRule="auto"/>
              <w:rPr>
                <w:rFonts w:ascii="Corbel" w:eastAsia="Times New Roman" w:hAnsi="Corbel" w:cs="Calibri"/>
                <w:b/>
                <w:lang w:val="en-US" w:eastAsia="pl-PL"/>
              </w:rPr>
            </w:pPr>
          </w:p>
        </w:tc>
        <w:tc>
          <w:tcPr>
            <w:tcW w:w="7225" w:type="dxa"/>
          </w:tcPr>
          <w:p w14:paraId="655D1B40"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eastAsia="pl-PL"/>
              </w:rPr>
              <w:t xml:space="preserve">15 </w:t>
            </w:r>
            <w:r w:rsidRPr="00033F89">
              <w:rPr>
                <w:rFonts w:ascii="Corbel" w:eastAsia="Times New Roman" w:hAnsi="Corbel" w:cs="Calibri"/>
                <w:i/>
                <w:lang w:val="en-US" w:eastAsia="pl-PL"/>
              </w:rPr>
              <w:t>classes</w:t>
            </w:r>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included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which</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aim</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provoke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reflection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build</w:t>
            </w:r>
            <w:proofErr w:type="spellEnd"/>
            <w:r w:rsidRPr="00033F89">
              <w:rPr>
                <w:rFonts w:ascii="Corbel" w:eastAsia="Times New Roman" w:hAnsi="Corbel" w:cs="Calibri"/>
                <w:i/>
                <w:lang w:eastAsia="pl-PL"/>
              </w:rPr>
              <w:t xml:space="preserve"> a </w:t>
            </w:r>
            <w:proofErr w:type="spellStart"/>
            <w:r w:rsidRPr="00033F89">
              <w:rPr>
                <w:rFonts w:ascii="Corbel" w:eastAsia="Times New Roman" w:hAnsi="Corbel" w:cs="Calibri"/>
                <w:i/>
                <w:lang w:eastAsia="pl-PL"/>
              </w:rPr>
              <w:t>new</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understanding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possibilities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environment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meaningful</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use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resources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knowledge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presented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combined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with</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disclosure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information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that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provokes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curiosity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same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time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addition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knowledge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builds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soft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skills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competence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interact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with</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environment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community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topics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follow</w:t>
            </w:r>
            <w:proofErr w:type="spellEnd"/>
            <w:r w:rsidRPr="00033F89">
              <w:rPr>
                <w:rFonts w:ascii="Corbel" w:eastAsia="Times New Roman" w:hAnsi="Corbel" w:cs="Calibri"/>
                <w:i/>
                <w:lang w:eastAsia="pl-PL"/>
              </w:rPr>
              <w:t xml:space="preserve"> a </w:t>
            </w:r>
            <w:proofErr w:type="spellStart"/>
            <w:r w:rsidRPr="00033F89">
              <w:rPr>
                <w:rFonts w:ascii="Corbel" w:eastAsia="Times New Roman" w:hAnsi="Corbel" w:cs="Calibri"/>
                <w:i/>
                <w:lang w:eastAsia="pl-PL"/>
              </w:rPr>
              <w:t>logical</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coherence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provide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information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functions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roles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types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historical</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development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reaching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challenges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facing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modern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This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followed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transition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question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relationship</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with</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place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or</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projections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related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Planning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This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line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logically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continued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Ecosystem</w:t>
            </w:r>
            <w:proofErr w:type="spellEnd"/>
            <w:r w:rsidRPr="00033F89">
              <w:rPr>
                <w:rFonts w:ascii="Corbel" w:eastAsia="Times New Roman" w:hAnsi="Corbel" w:cs="Calibri"/>
                <w:i/>
                <w:lang w:eastAsia="pl-PL"/>
              </w:rPr>
              <w:t xml:space="preserve"> Services: </w:t>
            </w:r>
            <w:proofErr w:type="spellStart"/>
            <w:r w:rsidRPr="00033F89">
              <w:rPr>
                <w:rFonts w:ascii="Corbel" w:eastAsia="Times New Roman" w:hAnsi="Corbel" w:cs="Calibri"/>
                <w:i/>
                <w:lang w:eastAsia="pl-PL"/>
              </w:rPr>
              <w:t>Embracing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Cityscape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increasingly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relevant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topic</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Green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Ways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Promote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Biodiversity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Areas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Protected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Areas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Personalizing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Making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Sense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One's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Own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Participation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Considering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Human</w:t>
            </w:r>
            <w:proofErr w:type="spellEnd"/>
            <w:r w:rsidRPr="00033F89">
              <w:rPr>
                <w:rFonts w:ascii="Corbel" w:eastAsia="Times New Roman" w:hAnsi="Corbel" w:cs="Calibri"/>
                <w:i/>
                <w:lang w:eastAsia="pl-PL"/>
              </w:rPr>
              <w:t xml:space="preserve"> Health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Opportunities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for</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Participation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Sustainable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Living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Integrating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Daily</w:t>
            </w:r>
            <w:proofErr w:type="spellEnd"/>
            <w:r w:rsidRPr="00033F89">
              <w:rPr>
                <w:rFonts w:ascii="Corbel" w:eastAsia="Times New Roman" w:hAnsi="Corbel" w:cs="Calibri"/>
                <w:i/>
                <w:lang w:eastAsia="pl-PL"/>
              </w:rPr>
              <w:t xml:space="preserve"> Life,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Gardening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Farming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Beekeeping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Sustainability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possibilities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environment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are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also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considered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perspective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Nature-Based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Recreation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Nurturing</w:t>
            </w:r>
            <w:proofErr w:type="spellEnd"/>
            <w:r w:rsidRPr="00033F89">
              <w:rPr>
                <w:rFonts w:ascii="Corbel" w:eastAsia="Times New Roman" w:hAnsi="Corbel" w:cs="Calibri"/>
                <w:i/>
                <w:lang w:eastAsia="pl-PL"/>
              </w:rPr>
              <w:t xml:space="preserve"> Health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Well-being</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Urban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Residents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Birds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Parks</w:t>
            </w:r>
            <w:proofErr w:type="spellEnd"/>
            <w:r w:rsidRPr="00033F89">
              <w:rPr>
                <w:rFonts w:ascii="Corbel" w:eastAsia="Times New Roman" w:hAnsi="Corbel" w:cs="Calibri"/>
                <w:i/>
                <w:lang w:eastAsia="pl-PL"/>
              </w:rPr>
              <w:t xml:space="preserve">. A </w:t>
            </w:r>
            <w:proofErr w:type="spellStart"/>
            <w:r w:rsidRPr="00033F89">
              <w:rPr>
                <w:rFonts w:ascii="Corbel" w:eastAsia="Times New Roman" w:hAnsi="Corbel" w:cs="Calibri"/>
                <w:i/>
                <w:lang w:eastAsia="pl-PL"/>
              </w:rPr>
              <w:t>focus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is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the</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opportunity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for</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every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resident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to</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become</w:t>
            </w:r>
            <w:proofErr w:type="spellEnd"/>
            <w:r w:rsidRPr="00033F89">
              <w:rPr>
                <w:rFonts w:ascii="Corbel" w:eastAsia="Times New Roman" w:hAnsi="Corbel" w:cs="Calibri"/>
                <w:i/>
                <w:lang w:eastAsia="pl-PL"/>
              </w:rPr>
              <w:t xml:space="preserve"> a </w:t>
            </w:r>
            <w:proofErr w:type="spellStart"/>
            <w:r w:rsidRPr="00033F89">
              <w:rPr>
                <w:rFonts w:ascii="Corbel" w:eastAsia="Times New Roman" w:hAnsi="Corbel" w:cs="Calibri"/>
                <w:i/>
                <w:lang w:eastAsia="pl-PL"/>
              </w:rPr>
              <w:t>part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of</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and</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agent</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for</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Green</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Spaces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as</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Community</w:t>
            </w:r>
            <w:proofErr w:type="spellEnd"/>
            <w:r w:rsidRPr="00033F89">
              <w:rPr>
                <w:rFonts w:ascii="Corbel" w:eastAsia="Times New Roman" w:hAnsi="Corbel" w:cs="Calibri"/>
                <w:i/>
                <w:lang w:eastAsia="pl-PL"/>
              </w:rPr>
              <w:t xml:space="preserve"> </w:t>
            </w:r>
            <w:proofErr w:type="spellStart"/>
            <w:r w:rsidRPr="00033F89">
              <w:rPr>
                <w:rFonts w:ascii="Corbel" w:eastAsia="Times New Roman" w:hAnsi="Corbel" w:cs="Calibri"/>
                <w:i/>
                <w:lang w:eastAsia="pl-PL"/>
              </w:rPr>
              <w:t>Catalysts</w:t>
            </w:r>
            <w:proofErr w:type="spellEnd"/>
            <w:r w:rsidRPr="00033F89">
              <w:rPr>
                <w:rFonts w:ascii="Corbel" w:eastAsia="Times New Roman" w:hAnsi="Corbel" w:cs="Calibri"/>
                <w:i/>
                <w:lang w:eastAsia="pl-PL"/>
              </w:rPr>
              <w:t>.</w:t>
            </w:r>
            <w:r w:rsidRPr="00033F89">
              <w:rPr>
                <w:rFonts w:ascii="Corbel" w:eastAsia="Times New Roman" w:hAnsi="Corbel" w:cs="Calibri"/>
                <w:i/>
                <w:lang w:val="en-US" w:eastAsia="pl-PL"/>
              </w:rPr>
              <w:t xml:space="preserve"> </w:t>
            </w:r>
          </w:p>
        </w:tc>
      </w:tr>
      <w:tr w:rsidR="00033F89" w:rsidRPr="00033F89" w14:paraId="27E41168" w14:textId="77777777" w:rsidTr="00116713">
        <w:tc>
          <w:tcPr>
            <w:tcW w:w="1837" w:type="dxa"/>
            <w:shd w:val="clear" w:color="auto" w:fill="D9D9D9"/>
          </w:tcPr>
          <w:p w14:paraId="43AF6E5B"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LEARNING OUTCOMES</w:t>
            </w:r>
          </w:p>
          <w:p w14:paraId="3C29828F" w14:textId="77777777" w:rsidR="00033F89" w:rsidRPr="00033F89" w:rsidRDefault="00033F89" w:rsidP="00033F89">
            <w:pPr>
              <w:spacing w:after="200" w:line="276" w:lineRule="auto"/>
              <w:rPr>
                <w:rFonts w:ascii="Corbel" w:eastAsia="Times New Roman" w:hAnsi="Corbel" w:cs="Calibri"/>
                <w:b/>
                <w:lang w:val="en-US" w:eastAsia="pl-PL"/>
              </w:rPr>
            </w:pPr>
          </w:p>
          <w:p w14:paraId="1F827833" w14:textId="77777777" w:rsidR="00033F89" w:rsidRPr="00033F89" w:rsidRDefault="00033F89" w:rsidP="00033F89">
            <w:pPr>
              <w:spacing w:after="200" w:line="276" w:lineRule="auto"/>
              <w:rPr>
                <w:rFonts w:ascii="Corbel" w:eastAsia="Times New Roman" w:hAnsi="Corbel" w:cs="Calibri"/>
                <w:b/>
                <w:lang w:val="en-US" w:eastAsia="pl-PL"/>
              </w:rPr>
            </w:pPr>
          </w:p>
          <w:p w14:paraId="6B4A049B" w14:textId="77777777" w:rsidR="00033F89" w:rsidRPr="00033F89" w:rsidRDefault="00033F89" w:rsidP="00033F89">
            <w:pPr>
              <w:spacing w:after="200" w:line="276" w:lineRule="auto"/>
              <w:rPr>
                <w:rFonts w:ascii="Corbel" w:eastAsia="Times New Roman" w:hAnsi="Corbel" w:cs="Calibri"/>
                <w:b/>
                <w:lang w:val="en-US" w:eastAsia="pl-PL"/>
              </w:rPr>
            </w:pPr>
          </w:p>
        </w:tc>
        <w:tc>
          <w:tcPr>
            <w:tcW w:w="7225" w:type="dxa"/>
          </w:tcPr>
          <w:p w14:paraId="119FA479"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 xml:space="preserve">After completion of the course the students </w:t>
            </w:r>
          </w:p>
          <w:p w14:paraId="34757AAB"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 xml:space="preserve">will have knowledge about urban planning practices, urban evolution and new opportunities for smart and </w:t>
            </w:r>
            <w:proofErr w:type="gramStart"/>
            <w:r w:rsidRPr="00033F89">
              <w:rPr>
                <w:rFonts w:ascii="Corbel" w:eastAsia="Times New Roman" w:hAnsi="Corbel" w:cs="Calibri"/>
                <w:i/>
                <w:lang w:val="en-US" w:eastAsia="pl-PL"/>
              </w:rPr>
              <w:t>ecologically-friendly</w:t>
            </w:r>
            <w:proofErr w:type="gramEnd"/>
            <w:r w:rsidRPr="00033F89">
              <w:rPr>
                <w:rFonts w:ascii="Corbel" w:eastAsia="Times New Roman" w:hAnsi="Corbel" w:cs="Calibri"/>
                <w:i/>
                <w:lang w:val="en-US" w:eastAsia="pl-PL"/>
              </w:rPr>
              <w:t xml:space="preserve"> cities</w:t>
            </w:r>
          </w:p>
          <w:p w14:paraId="19EFBB41"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 xml:space="preserve">have the skills to identify opportunities for activation and inclusion of environmental issues in their daily life with involvement of families, children, students and the community </w:t>
            </w:r>
            <w:proofErr w:type="gramStart"/>
            <w:r w:rsidRPr="00033F89">
              <w:rPr>
                <w:rFonts w:ascii="Corbel" w:eastAsia="Times New Roman" w:hAnsi="Corbel" w:cs="Calibri"/>
                <w:i/>
                <w:lang w:val="en-US" w:eastAsia="pl-PL"/>
              </w:rPr>
              <w:t>awareness</w:t>
            </w:r>
            <w:proofErr w:type="gramEnd"/>
          </w:p>
          <w:p w14:paraId="1CEF6AE2"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will have the competences to build activities, campaigns and initiatives aimed at different target groups in order to preserve and conserve the natural heritage in urban environments and to increase resources</w:t>
            </w:r>
          </w:p>
        </w:tc>
      </w:tr>
      <w:tr w:rsidR="00033F89" w:rsidRPr="00033F89" w14:paraId="0044279D" w14:textId="77777777" w:rsidTr="00116713">
        <w:tc>
          <w:tcPr>
            <w:tcW w:w="1837" w:type="dxa"/>
            <w:shd w:val="clear" w:color="auto" w:fill="D9D9D9"/>
          </w:tcPr>
          <w:p w14:paraId="737C8A2F"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lastRenderedPageBreak/>
              <w:t>STUDY AND ASSESSMENT METHODS</w:t>
            </w:r>
          </w:p>
        </w:tc>
        <w:tc>
          <w:tcPr>
            <w:tcW w:w="7225" w:type="dxa"/>
          </w:tcPr>
          <w:p w14:paraId="0BCE3140" w14:textId="77777777" w:rsidR="00033F89" w:rsidRPr="00033F89" w:rsidRDefault="00033F89" w:rsidP="00033F89">
            <w:pPr>
              <w:spacing w:after="200" w:line="276" w:lineRule="auto"/>
              <w:rPr>
                <w:rFonts w:ascii="Corbel" w:eastAsia="Times New Roman" w:hAnsi="Corbel" w:cs="Calibri"/>
                <w:i/>
                <w:lang w:val="en-US" w:eastAsia="pl-PL"/>
              </w:rPr>
            </w:pPr>
            <w:r w:rsidRPr="00033F89">
              <w:rPr>
                <w:rFonts w:ascii="Corbel" w:eastAsia="Times New Roman" w:hAnsi="Corbel" w:cs="Calibri"/>
                <w:i/>
                <w:lang w:val="en-US" w:eastAsia="pl-PL"/>
              </w:rPr>
              <w:t xml:space="preserve">All classes promote personal involvement and thus allow ongoing assessment based on the discussions, suggestions </w:t>
            </w:r>
            <w:proofErr w:type="gramStart"/>
            <w:r w:rsidRPr="00033F89">
              <w:rPr>
                <w:rFonts w:ascii="Corbel" w:eastAsia="Times New Roman" w:hAnsi="Corbel" w:cs="Calibri"/>
                <w:i/>
                <w:lang w:val="en-US" w:eastAsia="pl-PL"/>
              </w:rPr>
              <w:t>and  feedback</w:t>
            </w:r>
            <w:proofErr w:type="gramEnd"/>
            <w:r w:rsidRPr="00033F89">
              <w:rPr>
                <w:rFonts w:ascii="Corbel" w:eastAsia="Times New Roman" w:hAnsi="Corbel" w:cs="Calibri"/>
                <w:i/>
                <w:lang w:val="en-US" w:eastAsia="pl-PL"/>
              </w:rPr>
              <w:t xml:space="preserve">. In the end students are expected to make a brief presentation, targeting the broad audience </w:t>
            </w:r>
            <w:proofErr w:type="gramStart"/>
            <w:r w:rsidRPr="00033F89">
              <w:rPr>
                <w:rFonts w:ascii="Corbel" w:eastAsia="Times New Roman" w:hAnsi="Corbel" w:cs="Calibri"/>
                <w:i/>
                <w:lang w:val="en-US" w:eastAsia="pl-PL"/>
              </w:rPr>
              <w:t>and  suggesting</w:t>
            </w:r>
            <w:proofErr w:type="gramEnd"/>
            <w:r w:rsidRPr="00033F89">
              <w:rPr>
                <w:rFonts w:ascii="Corbel" w:eastAsia="Times New Roman" w:hAnsi="Corbel" w:cs="Calibri"/>
                <w:i/>
                <w:lang w:val="en-US" w:eastAsia="pl-PL"/>
              </w:rPr>
              <w:t xml:space="preserve"> key messages (describing organization of a campaign) promoting  city eco life and personal contribution awareness. All presentations </w:t>
            </w:r>
            <w:proofErr w:type="gramStart"/>
            <w:r w:rsidRPr="00033F89">
              <w:rPr>
                <w:rFonts w:ascii="Corbel" w:eastAsia="Times New Roman" w:hAnsi="Corbel" w:cs="Calibri"/>
                <w:i/>
                <w:lang w:val="en-US" w:eastAsia="pl-PL"/>
              </w:rPr>
              <w:t>are  shared</w:t>
            </w:r>
            <w:proofErr w:type="gramEnd"/>
            <w:r w:rsidRPr="00033F89">
              <w:rPr>
                <w:rFonts w:ascii="Corbel" w:eastAsia="Times New Roman" w:hAnsi="Corbel" w:cs="Calibri"/>
                <w:i/>
                <w:lang w:val="en-US" w:eastAsia="pl-PL"/>
              </w:rPr>
              <w:t>, discussed and form a specific “multiplier” as they  can be  shared / uploaded in social media.</w:t>
            </w:r>
          </w:p>
        </w:tc>
      </w:tr>
      <w:tr w:rsidR="00033F89" w:rsidRPr="00033F89" w14:paraId="576207EA" w14:textId="77777777" w:rsidTr="00AF1E39">
        <w:trPr>
          <w:trHeight w:val="197"/>
        </w:trPr>
        <w:tc>
          <w:tcPr>
            <w:tcW w:w="1837" w:type="dxa"/>
            <w:shd w:val="clear" w:color="auto" w:fill="D9D9D9"/>
          </w:tcPr>
          <w:p w14:paraId="51B070D3" w14:textId="77777777" w:rsidR="00033F89" w:rsidRPr="00033F89" w:rsidRDefault="00033F89" w:rsidP="00033F89">
            <w:pPr>
              <w:spacing w:after="200" w:line="276" w:lineRule="auto"/>
              <w:rPr>
                <w:rFonts w:ascii="Corbel" w:eastAsia="Times New Roman" w:hAnsi="Corbel" w:cs="Calibri"/>
                <w:b/>
                <w:lang w:val="en-US" w:eastAsia="pl-PL"/>
              </w:rPr>
            </w:pPr>
            <w:r w:rsidRPr="00033F89">
              <w:rPr>
                <w:rFonts w:ascii="Corbel" w:eastAsia="Times New Roman" w:hAnsi="Corbel" w:cs="Calibri"/>
                <w:b/>
                <w:lang w:val="en-US" w:eastAsia="pl-PL"/>
              </w:rPr>
              <w:t>BIBLIOGRAPHY</w:t>
            </w:r>
          </w:p>
        </w:tc>
        <w:tc>
          <w:tcPr>
            <w:tcW w:w="7225" w:type="dxa"/>
          </w:tcPr>
          <w:p w14:paraId="78E530BB"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 xml:space="preserve">McHarg, Ian L. Design </w:t>
            </w:r>
            <w:proofErr w:type="gramStart"/>
            <w:r w:rsidRPr="00033F89">
              <w:rPr>
                <w:rFonts w:ascii="Corbel" w:eastAsia="Times New Roman" w:hAnsi="Corbel" w:cs="Calibri"/>
                <w:i/>
                <w:lang w:val="en-US" w:eastAsia="pl-PL"/>
              </w:rPr>
              <w:t>With</w:t>
            </w:r>
            <w:proofErr w:type="gramEnd"/>
            <w:r w:rsidRPr="00033F89">
              <w:rPr>
                <w:rFonts w:ascii="Corbel" w:eastAsia="Times New Roman" w:hAnsi="Corbel" w:cs="Calibri"/>
                <w:i/>
                <w:lang w:val="en-US" w:eastAsia="pl-PL"/>
              </w:rPr>
              <w:t xml:space="preserve"> Nature. New York, J. Wiley, 1992.</w:t>
            </w:r>
          </w:p>
          <w:p w14:paraId="0B8B7B9C"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Cities in the 21st Century. Germany: Taylor &amp; Francis, 2016.</w:t>
            </w:r>
          </w:p>
          <w:p w14:paraId="0111C4F3"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Cities and Nature. A Handbook for Renewal. 2006. McFarland, Incorporated, Publishers ISBN:9780786422142, 0786422149</w:t>
            </w:r>
          </w:p>
          <w:p w14:paraId="21BD5760"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Nature and Cities. The Ecological Imperative in Urban Design and Planning.2016. Lincoln Institute of Land Policy. ISBN:9781558443501, 1558443509</w:t>
            </w:r>
          </w:p>
          <w:p w14:paraId="77CDC115"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 xml:space="preserve">Peter G. Rowe, Limin </w:t>
            </w:r>
            <w:proofErr w:type="spellStart"/>
            <w:r w:rsidRPr="00033F89">
              <w:rPr>
                <w:rFonts w:ascii="Corbel" w:eastAsia="Times New Roman" w:hAnsi="Corbel" w:cs="Calibri"/>
                <w:i/>
                <w:lang w:val="en-US" w:eastAsia="pl-PL"/>
              </w:rPr>
              <w:t>Hee</w:t>
            </w:r>
            <w:proofErr w:type="spellEnd"/>
            <w:r w:rsidRPr="00033F89">
              <w:rPr>
                <w:rFonts w:ascii="Corbel" w:eastAsia="Times New Roman" w:hAnsi="Corbel" w:cs="Calibri"/>
                <w:i/>
                <w:lang w:val="en-US" w:eastAsia="pl-PL"/>
              </w:rPr>
              <w:t xml:space="preserve">. A City in Blue and Green </w:t>
            </w:r>
            <w:proofErr w:type="gramStart"/>
            <w:r w:rsidRPr="00033F89">
              <w:rPr>
                <w:rFonts w:ascii="Corbel" w:eastAsia="Times New Roman" w:hAnsi="Corbel" w:cs="Calibri"/>
                <w:i/>
                <w:lang w:val="en-US" w:eastAsia="pl-PL"/>
              </w:rPr>
              <w:t>The</w:t>
            </w:r>
            <w:proofErr w:type="gramEnd"/>
            <w:r w:rsidRPr="00033F89">
              <w:rPr>
                <w:rFonts w:ascii="Corbel" w:eastAsia="Times New Roman" w:hAnsi="Corbel" w:cs="Calibri"/>
                <w:i/>
                <w:lang w:val="en-US" w:eastAsia="pl-PL"/>
              </w:rPr>
              <w:t xml:space="preserve"> Singapore Story. 2019 Springer Nature Singapore ISBN:9789811395963, 9811395969</w:t>
            </w:r>
          </w:p>
          <w:p w14:paraId="2B754BB6"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Nature Based Strategies for Urban and Building Sustainability. Netherlands: Elsevier Science, 2018.</w:t>
            </w:r>
          </w:p>
          <w:p w14:paraId="4DE657C3"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Urbanization, Biodiversity and Ecosystem Services: Challenges and Opportunities: A Global Assessment. Germany: Springer Netherlands, 2013.</w:t>
            </w:r>
          </w:p>
          <w:p w14:paraId="18C1BB18"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Esmail, </w:t>
            </w:r>
            <w:proofErr w:type="spellStart"/>
            <w:r w:rsidRPr="00033F89">
              <w:rPr>
                <w:rFonts w:ascii="Corbel" w:eastAsia="Times New Roman" w:hAnsi="Corbel" w:cs="Calibri"/>
                <w:i/>
                <w:lang w:val="en-US" w:eastAsia="pl-PL"/>
              </w:rPr>
              <w:t>Blal</w:t>
            </w:r>
            <w:proofErr w:type="spellEnd"/>
            <w:r w:rsidRPr="00033F89">
              <w:rPr>
                <w:rFonts w:ascii="Corbel" w:eastAsia="Times New Roman" w:hAnsi="Corbel" w:cs="Calibri"/>
                <w:i/>
                <w:lang w:val="en-US" w:eastAsia="pl-PL"/>
              </w:rPr>
              <w:t xml:space="preserve"> Adem., Cortinovis, Chiara., Zardo, Linda., Geneletti, Davide. Planning for Ecosystem Services in Cities. Germany: Springer International Publishing, 2019.</w:t>
            </w:r>
          </w:p>
          <w:p w14:paraId="5B3346BB"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Greening Cities: Forms and Functions. Singapore: Springer Nature Singapore, 2017.</w:t>
            </w:r>
          </w:p>
          <w:p w14:paraId="592D6AEB" w14:textId="77777777"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Maller, Cecily. Healthy Urban Environments: More-than-Human Theories. United Kingdom: Taylor &amp; Francis, 2018.</w:t>
            </w:r>
          </w:p>
          <w:p w14:paraId="3E6BA44B" w14:textId="767343EE"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 xml:space="preserve">Where Do Cities Come </w:t>
            </w:r>
            <w:proofErr w:type="gramStart"/>
            <w:r w:rsidRPr="00033F89">
              <w:rPr>
                <w:rFonts w:ascii="Corbel" w:eastAsia="Times New Roman" w:hAnsi="Corbel" w:cs="Calibri"/>
                <w:i/>
                <w:lang w:val="en-US" w:eastAsia="pl-PL"/>
              </w:rPr>
              <w:t>From</w:t>
            </w:r>
            <w:proofErr w:type="gramEnd"/>
            <w:r w:rsidRPr="00033F89">
              <w:rPr>
                <w:rFonts w:ascii="Corbel" w:eastAsia="Times New Roman" w:hAnsi="Corbel" w:cs="Calibri"/>
                <w:i/>
                <w:lang w:val="en-US" w:eastAsia="pl-PL"/>
              </w:rPr>
              <w:t xml:space="preserve"> and Where Are They Going To? Modelling Past and Present Agglomerations to Understand Urban Ways of Life. </w:t>
            </w:r>
            <w:proofErr w:type="spellStart"/>
            <w:r w:rsidRPr="00033F89">
              <w:rPr>
                <w:rFonts w:ascii="Corbel" w:eastAsia="Times New Roman" w:hAnsi="Corbel" w:cs="Calibri"/>
                <w:i/>
                <w:lang w:val="en-US" w:eastAsia="pl-PL"/>
              </w:rPr>
              <w:t>N.p.</w:t>
            </w:r>
            <w:proofErr w:type="spellEnd"/>
            <w:r w:rsidRPr="00033F89">
              <w:rPr>
                <w:rFonts w:ascii="Corbel" w:eastAsia="Times New Roman" w:hAnsi="Corbel" w:cs="Calibri"/>
                <w:i/>
                <w:lang w:val="en-US" w:eastAsia="pl-PL"/>
              </w:rPr>
              <w:t>: Frontiers Media SA, 2021.</w:t>
            </w:r>
            <w:r w:rsidR="00AF1E39">
              <w:rPr>
                <w:rFonts w:ascii="Corbel" w:eastAsia="Times New Roman" w:hAnsi="Corbel" w:cs="Calibri"/>
                <w:i/>
                <w:lang w:val="en-US" w:eastAsia="pl-PL"/>
              </w:rPr>
              <w:br/>
            </w:r>
            <w:r w:rsidR="00AF1E39">
              <w:rPr>
                <w:rFonts w:ascii="Corbel" w:eastAsia="Times New Roman" w:hAnsi="Corbel" w:cs="Calibri"/>
                <w:i/>
                <w:lang w:val="en-US" w:eastAsia="pl-PL"/>
              </w:rPr>
              <w:br/>
            </w:r>
            <w:r w:rsidR="00AF1E39">
              <w:rPr>
                <w:rFonts w:ascii="Corbel" w:eastAsia="Times New Roman" w:hAnsi="Corbel" w:cs="Calibri"/>
                <w:i/>
                <w:lang w:val="en-US" w:eastAsia="pl-PL"/>
              </w:rPr>
              <w:br/>
            </w:r>
            <w:r w:rsidR="00AF1E39">
              <w:rPr>
                <w:rFonts w:ascii="Corbel" w:eastAsia="Times New Roman" w:hAnsi="Corbel" w:cs="Calibri"/>
                <w:i/>
                <w:lang w:val="en-US" w:eastAsia="pl-PL"/>
              </w:rPr>
              <w:lastRenderedPageBreak/>
              <w:br/>
            </w:r>
          </w:p>
          <w:p w14:paraId="428AB2CE" w14:textId="46ED77C9" w:rsidR="00033F89" w:rsidRPr="00033F89" w:rsidRDefault="00033F89" w:rsidP="00033F89">
            <w:pPr>
              <w:numPr>
                <w:ilvl w:val="0"/>
                <w:numId w:val="1"/>
              </w:numPr>
              <w:spacing w:after="0" w:line="276" w:lineRule="auto"/>
              <w:contextualSpacing/>
              <w:rPr>
                <w:rFonts w:ascii="Corbel" w:eastAsia="Times New Roman" w:hAnsi="Corbel" w:cs="Calibri"/>
                <w:i/>
                <w:lang w:val="en-US" w:eastAsia="pl-PL"/>
              </w:rPr>
            </w:pPr>
            <w:r w:rsidRPr="00033F89">
              <w:rPr>
                <w:rFonts w:ascii="Corbel" w:eastAsia="Times New Roman" w:hAnsi="Corbel" w:cs="Calibri"/>
                <w:i/>
                <w:lang w:val="en-US" w:eastAsia="pl-PL"/>
              </w:rPr>
              <w:t xml:space="preserve">Timothy Beatley </w:t>
            </w:r>
            <w:r w:rsidRPr="00033F89">
              <w:rPr>
                <w:rFonts w:ascii="Corbel" w:eastAsia="Times New Roman" w:hAnsi="Corbel" w:cs="Calibri"/>
                <w:b/>
                <w:bCs/>
                <w:i/>
                <w:lang w:val="en-US" w:eastAsia="pl-PL"/>
              </w:rPr>
              <w:t xml:space="preserve">The Bird-Friendly City. </w:t>
            </w:r>
            <w:r w:rsidRPr="00033F89">
              <w:rPr>
                <w:rFonts w:ascii="Corbel" w:eastAsia="Times New Roman" w:hAnsi="Corbel" w:cs="Calibri"/>
                <w:i/>
                <w:lang w:val="en-US" w:eastAsia="pl-PL"/>
              </w:rPr>
              <w:t>Creating Safe Urban Habitats. 272 pages. Island Press. 2020. ISBN: 9781642830477</w:t>
            </w:r>
          </w:p>
          <w:p w14:paraId="5DFA4F58" w14:textId="77777777" w:rsidR="00033F89" w:rsidRPr="00033F89" w:rsidRDefault="00033F89" w:rsidP="00033F89">
            <w:pPr>
              <w:spacing w:after="200" w:line="276" w:lineRule="auto"/>
              <w:ind w:left="360"/>
              <w:rPr>
                <w:rFonts w:ascii="Corbel" w:eastAsia="Times New Roman" w:hAnsi="Corbel" w:cs="Calibri"/>
                <w:i/>
                <w:lang w:val="en-US" w:eastAsia="pl-PL"/>
              </w:rPr>
            </w:pPr>
          </w:p>
          <w:p w14:paraId="66C2B9E2" w14:textId="77777777" w:rsidR="00033F89" w:rsidRPr="00033F89" w:rsidRDefault="00033F89" w:rsidP="00033F89">
            <w:pPr>
              <w:spacing w:after="200" w:line="276" w:lineRule="auto"/>
              <w:rPr>
                <w:rFonts w:ascii="Corbel" w:eastAsia="Times New Roman" w:hAnsi="Corbel" w:cs="Calibri"/>
                <w:i/>
                <w:lang w:val="en-US" w:eastAsia="pl-PL"/>
              </w:rPr>
            </w:pPr>
          </w:p>
        </w:tc>
      </w:tr>
    </w:tbl>
    <w:p w14:paraId="439734E8" w14:textId="77777777" w:rsidR="00352643" w:rsidRDefault="00352643"/>
    <w:sectPr w:rsidR="00352643" w:rsidSect="008B6F05">
      <w:headerReference w:type="default" r:id="rId7"/>
      <w:footerReference w:type="default" r:id="rId8"/>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6647" w14:textId="77777777" w:rsidR="00AD730E" w:rsidRDefault="00AD730E" w:rsidP="00033F89">
      <w:pPr>
        <w:spacing w:after="0" w:line="240" w:lineRule="auto"/>
      </w:pPr>
      <w:r>
        <w:separator/>
      </w:r>
    </w:p>
  </w:endnote>
  <w:endnote w:type="continuationSeparator" w:id="0">
    <w:p w14:paraId="206E1C2E" w14:textId="77777777" w:rsidR="00AD730E" w:rsidRDefault="00AD730E"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Default="008457AD" w:rsidP="008457AD">
    <w:pPr>
      <w:pStyle w:val="Footer"/>
      <w:tabs>
        <w:tab w:val="clear" w:pos="4703"/>
        <w:tab w:val="clear" w:pos="9406"/>
        <w:tab w:val="left" w:pos="8520"/>
      </w:tabs>
      <w:rPr>
        <w:color w:val="000000" w:themeColor="text1"/>
        <w:sz w:val="16"/>
        <w:szCs w:val="16"/>
      </w:rPr>
    </w:pPr>
  </w:p>
  <w:p w14:paraId="7F4418A7" w14:textId="09CBD5C1" w:rsidR="008457AD" w:rsidRPr="007E4E7A" w:rsidRDefault="008457AD" w:rsidP="008457AD">
    <w:pPr>
      <w:pStyle w:val="Footer"/>
      <w:tabs>
        <w:tab w:val="clear" w:pos="4703"/>
        <w:tab w:val="clear" w:pos="9406"/>
        <w:tab w:val="left" w:pos="8520"/>
      </w:tabs>
      <w:rPr>
        <w:color w:val="000000" w:themeColor="text1"/>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DF0">
      <w:rPr>
        <w:noProof/>
        <w:color w:val="000000" w:themeColor="text1"/>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E3FB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F14DF0">
      <w:rPr>
        <w:color w:val="000000" w:themeColor="text1"/>
        <w:sz w:val="16"/>
        <w:szCs w:val="16"/>
      </w:rPr>
      <w:t>Sofia</w:t>
    </w:r>
    <w:proofErr w:type="spellEnd"/>
    <w:r w:rsidRPr="00F14DF0">
      <w:rPr>
        <w:color w:val="000000" w:themeColor="text1"/>
        <w:sz w:val="16"/>
        <w:szCs w:val="16"/>
      </w:rPr>
      <w:t xml:space="preserve"> </w:t>
    </w:r>
    <w:proofErr w:type="spellStart"/>
    <w:r w:rsidRPr="00F14DF0">
      <w:rPr>
        <w:color w:val="000000" w:themeColor="text1"/>
        <w:sz w:val="16"/>
        <w:szCs w:val="16"/>
      </w:rPr>
      <w:t>University</w:t>
    </w:r>
    <w:proofErr w:type="spellEnd"/>
    <w:r w:rsidRPr="00F14DF0">
      <w:rPr>
        <w:color w:val="000000" w:themeColor="text1"/>
        <w:sz w:val="16"/>
        <w:szCs w:val="16"/>
      </w:rPr>
      <w:t xml:space="preserve"> “</w:t>
    </w:r>
    <w:proofErr w:type="spellStart"/>
    <w:r w:rsidRPr="00F14DF0">
      <w:rPr>
        <w:color w:val="000000" w:themeColor="text1"/>
        <w:sz w:val="16"/>
        <w:szCs w:val="16"/>
      </w:rPr>
      <w:t>St.Kliment</w:t>
    </w:r>
    <w:proofErr w:type="spellEnd"/>
    <w:r w:rsidRPr="00F14DF0">
      <w:rPr>
        <w:color w:val="000000" w:themeColor="text1"/>
        <w:sz w:val="16"/>
        <w:szCs w:val="16"/>
      </w:rPr>
      <w:t xml:space="preserve"> </w:t>
    </w:r>
    <w:proofErr w:type="spellStart"/>
    <w:r w:rsidRPr="00F14DF0">
      <w:rPr>
        <w:color w:val="000000" w:themeColor="text1"/>
        <w:sz w:val="16"/>
        <w:szCs w:val="16"/>
      </w:rPr>
      <w:t>Ohridski</w:t>
    </w:r>
    <w:proofErr w:type="spellEnd"/>
    <w:r w:rsidRPr="00F14DF0">
      <w:rPr>
        <w:color w:val="000000" w:themeColor="text1"/>
        <w:sz w:val="16"/>
        <w:szCs w:val="16"/>
      </w:rPr>
      <w:t>”</w:t>
    </w:r>
    <w:r>
      <w:rPr>
        <w:color w:val="000000" w:themeColor="text1"/>
        <w:sz w:val="16"/>
        <w:szCs w:val="16"/>
      </w:rPr>
      <w:tab/>
    </w:r>
  </w:p>
  <w:p w14:paraId="7272C383" w14:textId="77777777" w:rsidR="008457AD" w:rsidRPr="007E4E7A" w:rsidRDefault="008457AD" w:rsidP="008457AD">
    <w:pPr>
      <w:pStyle w:val="Footer"/>
      <w:tabs>
        <w:tab w:val="clear" w:pos="4703"/>
        <w:tab w:val="clear" w:pos="9406"/>
        <w:tab w:val="right" w:pos="9360"/>
      </w:tabs>
      <w:rPr>
        <w:color w:val="000000" w:themeColor="text1"/>
        <w:sz w:val="16"/>
        <w:szCs w:val="16"/>
        <w:lang w:val="en-US"/>
      </w:rPr>
    </w:pPr>
    <w:r w:rsidRPr="00F14DF0">
      <w:rPr>
        <w:color w:val="000000" w:themeColor="text1"/>
        <w:sz w:val="16"/>
        <w:szCs w:val="16"/>
      </w:rPr>
      <w:t xml:space="preserve">15 </w:t>
    </w:r>
    <w:proofErr w:type="spellStart"/>
    <w:r w:rsidRPr="00F14DF0">
      <w:rPr>
        <w:color w:val="000000" w:themeColor="text1"/>
        <w:sz w:val="16"/>
        <w:szCs w:val="16"/>
      </w:rPr>
      <w:t>Tzar</w:t>
    </w:r>
    <w:proofErr w:type="spellEnd"/>
    <w:r w:rsidRPr="00F14DF0">
      <w:rPr>
        <w:color w:val="000000" w:themeColor="text1"/>
        <w:sz w:val="16"/>
        <w:szCs w:val="16"/>
      </w:rPr>
      <w:t xml:space="preserve"> </w:t>
    </w:r>
    <w:proofErr w:type="spellStart"/>
    <w:r w:rsidRPr="00F14DF0">
      <w:rPr>
        <w:color w:val="000000" w:themeColor="text1"/>
        <w:sz w:val="16"/>
        <w:szCs w:val="16"/>
      </w:rPr>
      <w:t>Osvoboditel</w:t>
    </w:r>
    <w:proofErr w:type="spellEnd"/>
    <w:r w:rsidRPr="00F14DF0">
      <w:rPr>
        <w:color w:val="000000" w:themeColor="text1"/>
        <w:sz w:val="16"/>
        <w:szCs w:val="16"/>
      </w:rPr>
      <w:t xml:space="preserve"> </w:t>
    </w:r>
    <w:proofErr w:type="spellStart"/>
    <w:r w:rsidRPr="00F14DF0">
      <w:rPr>
        <w:color w:val="000000" w:themeColor="text1"/>
        <w:sz w:val="16"/>
        <w:szCs w:val="16"/>
      </w:rPr>
      <w:t>blvd</w:t>
    </w:r>
    <w:proofErr w:type="spellEnd"/>
    <w:r>
      <w:rPr>
        <w:color w:val="000000" w:themeColor="text1"/>
        <w:sz w:val="16"/>
        <w:szCs w:val="16"/>
      </w:rPr>
      <w:tab/>
    </w:r>
  </w:p>
  <w:p w14:paraId="37C37ABE" w14:textId="77777777" w:rsidR="008457AD" w:rsidRDefault="008457AD" w:rsidP="008457AD">
    <w:pPr>
      <w:pStyle w:val="Footer"/>
      <w:rPr>
        <w:color w:val="000000" w:themeColor="text1"/>
        <w:sz w:val="16"/>
        <w:szCs w:val="16"/>
      </w:rPr>
    </w:pPr>
    <w:r w:rsidRPr="00F14DF0">
      <w:rPr>
        <w:color w:val="000000" w:themeColor="text1"/>
        <w:sz w:val="16"/>
        <w:szCs w:val="16"/>
      </w:rPr>
      <w:t xml:space="preserve">1504 </w:t>
    </w:r>
    <w:proofErr w:type="spellStart"/>
    <w:r w:rsidRPr="00F14DF0">
      <w:rPr>
        <w:color w:val="000000" w:themeColor="text1"/>
        <w:sz w:val="16"/>
        <w:szCs w:val="16"/>
      </w:rPr>
      <w:t>Sofia</w:t>
    </w:r>
    <w:proofErr w:type="spellEnd"/>
    <w:r w:rsidRPr="00F14DF0">
      <w:rPr>
        <w:color w:val="000000" w:themeColor="text1"/>
        <w:sz w:val="16"/>
        <w:szCs w:val="16"/>
      </w:rPr>
      <w:t xml:space="preserve">, </w:t>
    </w:r>
    <w:proofErr w:type="spellStart"/>
    <w:r w:rsidRPr="00F14DF0">
      <w:rPr>
        <w:color w:val="000000" w:themeColor="text1"/>
        <w:sz w:val="16"/>
        <w:szCs w:val="16"/>
      </w:rPr>
      <w:t>Bulgaria</w:t>
    </w:r>
    <w:proofErr w:type="spellEnd"/>
  </w:p>
  <w:p w14:paraId="2A47934D" w14:textId="77777777" w:rsidR="008B6F05" w:rsidRPr="008B6F05" w:rsidRDefault="008B6F05" w:rsidP="008B6F05">
    <w:pPr>
      <w:pStyle w:val="Footer"/>
      <w:rPr>
        <w:color w:val="000000" w:themeColor="text1"/>
        <w:sz w:val="16"/>
        <w:szCs w:val="16"/>
        <w:lang w:val="en-US"/>
      </w:rPr>
    </w:pPr>
    <w:r w:rsidRPr="008B6F05">
      <w:rPr>
        <w:color w:val="000000" w:themeColor="text1"/>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8B6F05" w:rsidRDefault="008B6F05" w:rsidP="008457AD">
    <w:pPr>
      <w:pStyle w:val="Footer"/>
      <w:rPr>
        <w:color w:val="000000" w:themeColor="text1"/>
        <w:sz w:val="16"/>
        <w:szCs w:val="16"/>
        <w:lang w:val="en-US"/>
      </w:rPr>
    </w:pPr>
    <w:hyperlink r:id="rId3" w:history="1">
      <w:r w:rsidRPr="00B66DF4">
        <w:rPr>
          <w:rStyle w:val="Hyperlink"/>
          <w:sz w:val="16"/>
          <w:szCs w:val="16"/>
          <w:lang w:val="en-US"/>
        </w:rPr>
        <w:t>https://www.uni-sofia.bg</w:t>
      </w:r>
    </w:hyperlink>
    <w:r>
      <w:rPr>
        <w:color w:val="000000" w:themeColor="text1"/>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CE75" w14:textId="77777777" w:rsidR="00AD730E" w:rsidRDefault="00AD730E" w:rsidP="00033F89">
      <w:pPr>
        <w:spacing w:after="0" w:line="240" w:lineRule="auto"/>
      </w:pPr>
      <w:r>
        <w:separator/>
      </w:r>
    </w:p>
  </w:footnote>
  <w:footnote w:type="continuationSeparator" w:id="0">
    <w:p w14:paraId="1E1D77A6" w14:textId="77777777" w:rsidR="00AD730E" w:rsidRDefault="00AD730E"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30404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352643"/>
    <w:rsid w:val="005260BB"/>
    <w:rsid w:val="008457AD"/>
    <w:rsid w:val="008B6F05"/>
    <w:rsid w:val="00AD730E"/>
    <w:rsid w:val="00AF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Милена Миленова Точева</cp:lastModifiedBy>
  <cp:revision>1</cp:revision>
  <dcterms:created xsi:type="dcterms:W3CDTF">2023-11-15T13:10:00Z</dcterms:created>
  <dcterms:modified xsi:type="dcterms:W3CDTF">2023-11-15T15:21:00Z</dcterms:modified>
</cp:coreProperties>
</file>